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FE6FF" w14:textId="763789B4" w:rsidR="00E804FD" w:rsidRPr="00531700" w:rsidRDefault="00E804FD" w:rsidP="00E804FD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531700">
        <w:rPr>
          <w:rFonts w:ascii="Times New Roman" w:hAnsi="Times New Roman" w:cs="Times New Roman"/>
          <w:b/>
          <w:sz w:val="24"/>
        </w:rPr>
        <w:t>3GPP TSG RAN WG1 Meeting 9</w:t>
      </w:r>
      <w:r w:rsidR="008F24E5">
        <w:rPr>
          <w:rFonts w:ascii="Times New Roman" w:hAnsi="Times New Roman" w:cs="Times New Roman"/>
          <w:b/>
          <w:sz w:val="24"/>
        </w:rPr>
        <w:t>1</w:t>
      </w:r>
      <w:r w:rsidRPr="00531700">
        <w:rPr>
          <w:rFonts w:ascii="Times New Roman" w:hAnsi="Times New Roman" w:cs="Times New Roman"/>
          <w:b/>
          <w:sz w:val="24"/>
        </w:rPr>
        <w:t xml:space="preserve"> </w:t>
      </w:r>
      <w:r w:rsidRPr="00531700">
        <w:rPr>
          <w:rFonts w:ascii="Times New Roman" w:hAnsi="Times New Roman" w:cs="Times New Roman"/>
          <w:b/>
          <w:sz w:val="24"/>
        </w:rPr>
        <w:tab/>
      </w:r>
      <w:r w:rsidRPr="0053170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531700">
        <w:rPr>
          <w:rFonts w:ascii="Times New Roman" w:hAnsi="Times New Roman" w:cs="Times New Roman"/>
          <w:b/>
          <w:sz w:val="24"/>
        </w:rPr>
        <w:t>R1-17</w:t>
      </w:r>
      <w:r w:rsidR="00AB7420">
        <w:rPr>
          <w:rFonts w:ascii="Times New Roman" w:hAnsi="Times New Roman" w:cs="Times New Roman"/>
          <w:b/>
          <w:sz w:val="24"/>
        </w:rPr>
        <w:t>20625</w:t>
      </w:r>
    </w:p>
    <w:p w14:paraId="3ACDBAB9" w14:textId="3CBE1CA4" w:rsidR="00E804FD" w:rsidRPr="00531700" w:rsidRDefault="008F24E5" w:rsidP="00E804FD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Reno, Nevada, US, 27</w:t>
      </w:r>
      <w:r w:rsidRPr="004B2CB7">
        <w:rPr>
          <w:rFonts w:ascii="Times New Roman" w:hAnsi="Times New Roman" w:cs="Times New Roman"/>
          <w:b/>
          <w:sz w:val="24"/>
          <w:vertAlign w:val="superscript"/>
        </w:rPr>
        <w:t>th</w:t>
      </w:r>
      <w:r w:rsidR="004B2CB7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November </w:t>
      </w:r>
      <w:r w:rsidR="00E804FD" w:rsidRPr="00531700">
        <w:rPr>
          <w:rFonts w:ascii="Times New Roman" w:hAnsi="Times New Roman" w:cs="Times New Roman"/>
          <w:b/>
          <w:sz w:val="24"/>
        </w:rPr>
        <w:t xml:space="preserve">– </w:t>
      </w:r>
      <w:r>
        <w:rPr>
          <w:rFonts w:ascii="Times New Roman" w:hAnsi="Times New Roman" w:cs="Times New Roman"/>
          <w:b/>
          <w:sz w:val="24"/>
        </w:rPr>
        <w:t xml:space="preserve">December </w:t>
      </w:r>
      <w:r w:rsidR="00E804FD" w:rsidRPr="00531700">
        <w:rPr>
          <w:rFonts w:ascii="Times New Roman" w:hAnsi="Times New Roman" w:cs="Times New Roman"/>
          <w:b/>
          <w:sz w:val="24"/>
        </w:rPr>
        <w:t>1</w:t>
      </w:r>
      <w:r w:rsidRPr="004B2CB7">
        <w:rPr>
          <w:rFonts w:ascii="Times New Roman" w:hAnsi="Times New Roman" w:cs="Times New Roman"/>
          <w:b/>
          <w:sz w:val="24"/>
          <w:vertAlign w:val="superscript"/>
        </w:rPr>
        <w:t>st</w:t>
      </w:r>
      <w:r w:rsidR="004B2CB7">
        <w:rPr>
          <w:rFonts w:ascii="Times New Roman" w:hAnsi="Times New Roman" w:cs="Times New Roman"/>
          <w:b/>
          <w:sz w:val="24"/>
        </w:rPr>
        <w:t xml:space="preserve"> </w:t>
      </w:r>
      <w:r w:rsidR="00E804FD" w:rsidRPr="00531700">
        <w:rPr>
          <w:rFonts w:ascii="Times New Roman" w:hAnsi="Times New Roman" w:cs="Times New Roman"/>
          <w:b/>
          <w:sz w:val="24"/>
        </w:rPr>
        <w:t>, 2017</w:t>
      </w:r>
    </w:p>
    <w:p w14:paraId="2124D67A" w14:textId="77777777" w:rsidR="00DC2E21" w:rsidRPr="00217640" w:rsidRDefault="00DC2E21" w:rsidP="00DC2E21">
      <w:pPr>
        <w:spacing w:after="0"/>
        <w:ind w:left="1440" w:hanging="1440"/>
        <w:rPr>
          <w:rFonts w:ascii="Times New Roman" w:eastAsia="Batang" w:hAnsi="Times New Roman" w:cs="Times New Roman"/>
          <w:b/>
          <w:sz w:val="20"/>
          <w:szCs w:val="20"/>
          <w:lang w:val="en-GB"/>
        </w:rPr>
      </w:pPr>
    </w:p>
    <w:p w14:paraId="1D44D107" w14:textId="03ABA498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Agenda item: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1" w:name="Source"/>
      <w:bookmarkEnd w:id="1"/>
      <w:r w:rsidRPr="00217640">
        <w:rPr>
          <w:rFonts w:ascii="Times New Roman" w:hAnsi="Times New Roman" w:cs="Times New Roman"/>
          <w:b/>
          <w:sz w:val="24"/>
        </w:rPr>
        <w:tab/>
      </w:r>
      <w:r w:rsidR="00DE4FFA">
        <w:rPr>
          <w:rFonts w:ascii="Times New Roman" w:hAnsi="Times New Roman" w:cs="Times New Roman"/>
          <w:b/>
          <w:sz w:val="24"/>
        </w:rPr>
        <w:t>7</w:t>
      </w:r>
      <w:r w:rsidRPr="00217640">
        <w:rPr>
          <w:rFonts w:ascii="Times New Roman" w:hAnsi="Times New Roman" w:cs="Times New Roman"/>
          <w:b/>
          <w:sz w:val="24"/>
        </w:rPr>
        <w:t>.2.1.</w:t>
      </w:r>
      <w:r w:rsidR="00FF17CE">
        <w:rPr>
          <w:rFonts w:ascii="Times New Roman" w:hAnsi="Times New Roman" w:cs="Times New Roman"/>
          <w:b/>
          <w:sz w:val="24"/>
        </w:rPr>
        <w:t>2</w:t>
      </w:r>
    </w:p>
    <w:p w14:paraId="7413B0B0" w14:textId="127556EF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 xml:space="preserve">Source: </w:t>
      </w:r>
      <w:r w:rsidRPr="00217640">
        <w:rPr>
          <w:rFonts w:ascii="Times New Roman" w:hAnsi="Times New Roman" w:cs="Times New Roman"/>
          <w:b/>
          <w:sz w:val="24"/>
        </w:rPr>
        <w:tab/>
      </w:r>
      <w:r w:rsidRPr="00217640">
        <w:rPr>
          <w:rFonts w:ascii="Times New Roman" w:hAnsi="Times New Roman" w:cs="Times New Roman"/>
          <w:b/>
          <w:sz w:val="24"/>
        </w:rPr>
        <w:tab/>
        <w:t xml:space="preserve">InterDigital </w:t>
      </w:r>
      <w:r w:rsidR="00611125" w:rsidRPr="00217640">
        <w:rPr>
          <w:rFonts w:ascii="Times New Roman" w:hAnsi="Times New Roman" w:cs="Times New Roman"/>
          <w:b/>
          <w:sz w:val="24"/>
        </w:rPr>
        <w:t>Inc.</w:t>
      </w:r>
    </w:p>
    <w:p w14:paraId="326E4427" w14:textId="47BF6140" w:rsidR="00DC2E21" w:rsidRPr="00217640" w:rsidRDefault="00DC2E21" w:rsidP="00DC2E21">
      <w:pPr>
        <w:rPr>
          <w:rFonts w:ascii="Times New Roman" w:hAnsi="Times New Roman" w:cs="Times New Roman"/>
          <w:b/>
        </w:rPr>
      </w:pPr>
      <w:r w:rsidRPr="00217640">
        <w:rPr>
          <w:rFonts w:ascii="Times New Roman" w:hAnsi="Times New Roman" w:cs="Times New Roman"/>
          <w:b/>
          <w:sz w:val="24"/>
        </w:rPr>
        <w:t xml:space="preserve">Title: </w:t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="00CD7FEB" w:rsidRPr="00217640">
        <w:rPr>
          <w:rFonts w:ascii="Times New Roman" w:hAnsi="Times New Roman" w:cs="Times New Roman"/>
          <w:b/>
          <w:bCs/>
          <w:sz w:val="24"/>
        </w:rPr>
        <w:t xml:space="preserve">TPMI </w:t>
      </w:r>
      <w:r w:rsidR="009B74D2">
        <w:rPr>
          <w:rFonts w:ascii="Times New Roman" w:hAnsi="Times New Roman" w:cs="Times New Roman"/>
          <w:b/>
          <w:bCs/>
          <w:sz w:val="24"/>
        </w:rPr>
        <w:t xml:space="preserve">for Codebook-based </w:t>
      </w:r>
      <w:r w:rsidR="00CD7FEB" w:rsidRPr="00217640">
        <w:rPr>
          <w:rFonts w:ascii="Times New Roman" w:hAnsi="Times New Roman" w:cs="Times New Roman"/>
          <w:b/>
          <w:bCs/>
          <w:sz w:val="24"/>
        </w:rPr>
        <w:t xml:space="preserve">UL </w:t>
      </w:r>
      <w:r w:rsidR="009B74D2">
        <w:rPr>
          <w:rFonts w:ascii="Times New Roman" w:hAnsi="Times New Roman" w:cs="Times New Roman"/>
          <w:b/>
          <w:bCs/>
          <w:sz w:val="24"/>
        </w:rPr>
        <w:t>Transmission</w:t>
      </w:r>
    </w:p>
    <w:p w14:paraId="4B395B84" w14:textId="77777777" w:rsidR="00DC2E21" w:rsidRPr="00217640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Document for: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2" w:name="DocumentFor"/>
      <w:bookmarkEnd w:id="2"/>
      <w:r w:rsidRPr="00217640">
        <w:rPr>
          <w:rFonts w:ascii="Times New Roman" w:hAnsi="Times New Roman" w:cs="Times New Roman"/>
          <w:b/>
          <w:sz w:val="24"/>
        </w:rPr>
        <w:tab/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686C502B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8F24E5">
        <w:rPr>
          <w:rFonts w:ascii="Times" w:hAnsi="Times" w:cs="Times"/>
        </w:rPr>
        <w:t>#9</w:t>
      </w:r>
      <w:r w:rsidR="005A16A8">
        <w:rPr>
          <w:rFonts w:ascii="Times" w:hAnsi="Times" w:cs="Times"/>
        </w:rPr>
        <w:t>0b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D45AA3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 w:rsidR="008F24E5">
        <w:rPr>
          <w:rFonts w:ascii="Times" w:hAnsi="Times" w:cs="Times"/>
        </w:rPr>
        <w:t xml:space="preserve">several agreements </w:t>
      </w:r>
      <w:r w:rsidR="009B74D2">
        <w:rPr>
          <w:rFonts w:ascii="Times" w:hAnsi="Times" w:cs="Times"/>
        </w:rPr>
        <w:t xml:space="preserve">as well as a working assumption </w:t>
      </w:r>
      <w:r w:rsidR="008F24E5">
        <w:rPr>
          <w:rFonts w:ascii="Times" w:hAnsi="Times" w:cs="Times"/>
        </w:rPr>
        <w:t xml:space="preserve">on details and the operation </w:t>
      </w:r>
      <w:r w:rsidR="00B62074">
        <w:rPr>
          <w:rFonts w:ascii="Times" w:hAnsi="Times" w:cs="Times"/>
        </w:rPr>
        <w:t xml:space="preserve">codebook-based UL transmission </w:t>
      </w:r>
      <w:r w:rsidR="008F24E5">
        <w:rPr>
          <w:rFonts w:ascii="Times" w:hAnsi="Times" w:cs="Times"/>
        </w:rPr>
        <w:t xml:space="preserve">were </w:t>
      </w:r>
      <w:r w:rsidR="009B74D2">
        <w:rPr>
          <w:rFonts w:ascii="Times" w:hAnsi="Times" w:cs="Times"/>
        </w:rPr>
        <w:t>approved</w:t>
      </w:r>
      <w:r w:rsidR="008F24E5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1C8" w:rsidRPr="004C4F5B" w14:paraId="2078AFA5" w14:textId="77777777" w:rsidTr="006011C8">
        <w:tc>
          <w:tcPr>
            <w:tcW w:w="9629" w:type="dxa"/>
          </w:tcPr>
          <w:p w14:paraId="5A32B045" w14:textId="65A127A6" w:rsidR="004C4F5B" w:rsidRDefault="004C4F5B" w:rsidP="004C4F5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8F24E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x-none"/>
              </w:rPr>
              <w:t>Agreements:</w:t>
            </w:r>
          </w:p>
          <w:p w14:paraId="61281A05" w14:textId="6C71861B" w:rsidR="006011C8" w:rsidRPr="004C4F5B" w:rsidRDefault="006011C8" w:rsidP="003F379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t>At least for the case where single SRS resource is configured and for DFT-S-OFDM, support additional 4Tx rank 1 codebook below</w:t>
            </w:r>
          </w:p>
          <w:p w14:paraId="5A7B0A75" w14:textId="77777777" w:rsidR="006011C8" w:rsidRPr="004C4F5B" w:rsidRDefault="006011C8" w:rsidP="006011C8">
            <w:pPr>
              <w:jc w:val="center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noProof/>
                <w:sz w:val="18"/>
                <w:szCs w:val="20"/>
              </w:rPr>
              <w:drawing>
                <wp:inline distT="0" distB="0" distL="0" distR="0" wp14:anchorId="17D98AE3" wp14:editId="0FB1F7B1">
                  <wp:extent cx="4089400" cy="16247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57" r="5827" b="10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187" cy="163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4CFFC6" w14:textId="77777777" w:rsidR="006011C8" w:rsidRPr="004C4F5B" w:rsidRDefault="006011C8" w:rsidP="003F379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t xml:space="preserve">Send an LS to RAN4 to inform that RAN1 has agreed to support the above UL codebook (codebook indices 16~27) for 4TX UEs and request feedback from RAN4 (ex: MPR) on feasibility </w:t>
            </w:r>
          </w:p>
          <w:p w14:paraId="4DFD1D87" w14:textId="77777777" w:rsidR="006011C8" w:rsidRPr="004C4F5B" w:rsidRDefault="006011C8" w:rsidP="006011C8">
            <w:pPr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</w:p>
          <w:p w14:paraId="0262B2A4" w14:textId="77777777" w:rsidR="006011C8" w:rsidRPr="004C4F5B" w:rsidRDefault="006011C8" w:rsidP="003F37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For 4 </w:t>
            </w:r>
            <w:proofErr w:type="spellStart"/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Tx</w:t>
            </w:r>
            <w:proofErr w:type="spellEnd"/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 with wideband TPMI, use at least single stage DCI</w:t>
            </w:r>
          </w:p>
          <w:p w14:paraId="1F6BF4F4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FFS for 2 stage DCI</w:t>
            </w:r>
          </w:p>
          <w:p w14:paraId="0BA0F10A" w14:textId="77777777" w:rsidR="006011C8" w:rsidRPr="004C4F5B" w:rsidRDefault="006011C8" w:rsidP="003F37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For wideband TPMI, for NR 4 </w:t>
            </w:r>
            <w:proofErr w:type="spellStart"/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Tx</w:t>
            </w:r>
            <w:proofErr w:type="spellEnd"/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 codebook for CP-OFDM, </w:t>
            </w:r>
            <w:proofErr w:type="spellStart"/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downselect</w:t>
            </w:r>
            <w:proofErr w:type="spellEnd"/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 one of:</w:t>
            </w:r>
          </w:p>
          <w:p w14:paraId="384BC02F" w14:textId="77777777" w:rsidR="006011C8" w:rsidRPr="004C4F5B" w:rsidRDefault="006011C8" w:rsidP="006011C8">
            <w:pPr>
              <w:pStyle w:val="RAN1bullet2"/>
              <w:rPr>
                <w:i/>
                <w:sz w:val="18"/>
              </w:rPr>
            </w:pPr>
            <w:r w:rsidRPr="004C4F5B">
              <w:rPr>
                <w:i/>
                <w:sz w:val="18"/>
              </w:rPr>
              <w:t xml:space="preserve">Alt 1: Rel-10 UL, possibly with additional entries: </w:t>
            </w:r>
          </w:p>
          <w:p w14:paraId="4D18A3B7" w14:textId="77777777" w:rsidR="006011C8" w:rsidRPr="004C4F5B" w:rsidRDefault="006011C8" w:rsidP="006011C8">
            <w:pPr>
              <w:pStyle w:val="RAN1bullet2"/>
              <w:rPr>
                <w:rFonts w:ascii="Times New Roman" w:hAnsi="Times New Roman"/>
                <w:i/>
                <w:sz w:val="18"/>
              </w:rPr>
            </w:pPr>
            <w:r w:rsidRPr="004C4F5B">
              <w:rPr>
                <w:rFonts w:ascii="Times New Roman" w:hAnsi="Times New Roman"/>
                <w:i/>
                <w:sz w:val="18"/>
              </w:rPr>
              <w:t xml:space="preserve">Alt 2: Rel-15 DL, possibly with additional entries: </w:t>
            </w:r>
          </w:p>
          <w:p w14:paraId="454D78C0" w14:textId="77777777" w:rsidR="006011C8" w:rsidRPr="004C4F5B" w:rsidRDefault="006011C8" w:rsidP="006011C8">
            <w:pPr>
              <w:pStyle w:val="RAN1bullet2"/>
              <w:rPr>
                <w:rFonts w:ascii="Times New Roman" w:hAnsi="Times New Roman"/>
                <w:i/>
                <w:sz w:val="18"/>
              </w:rPr>
            </w:pPr>
            <w:r w:rsidRPr="004C4F5B">
              <w:rPr>
                <w:rFonts w:ascii="Times New Roman" w:hAnsi="Times New Roman"/>
                <w:i/>
                <w:sz w:val="18"/>
              </w:rPr>
              <w:t>Alt 3: Rel-8 DL, possibly with additional entries</w:t>
            </w:r>
          </w:p>
          <w:p w14:paraId="481E2C5A" w14:textId="77777777" w:rsidR="006011C8" w:rsidRPr="004C4F5B" w:rsidRDefault="006011C8" w:rsidP="003F379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Evaluate performance of candidate codebooks &amp; decide by RAN1#91</w:t>
            </w:r>
          </w:p>
          <w:p w14:paraId="489840ED" w14:textId="77777777" w:rsidR="006011C8" w:rsidRPr="004C4F5B" w:rsidRDefault="006011C8" w:rsidP="006011C8">
            <w:pPr>
              <w:pStyle w:val="ListParagraph"/>
              <w:tabs>
                <w:tab w:val="left" w:pos="1440"/>
              </w:tabs>
              <w:rPr>
                <w:rFonts w:ascii="Times New Roman" w:hAnsi="Times New Roman" w:cs="Times New Roman"/>
                <w:i/>
                <w:sz w:val="18"/>
                <w:szCs w:val="20"/>
              </w:rPr>
            </w:pPr>
          </w:p>
          <w:p w14:paraId="13FFA1D6" w14:textId="77777777" w:rsidR="006011C8" w:rsidRPr="004C4F5B" w:rsidRDefault="006011C8" w:rsidP="003F379C">
            <w:pPr>
              <w:pStyle w:val="ListParagraph"/>
              <w:numPr>
                <w:ilvl w:val="0"/>
                <w:numId w:val="16"/>
              </w:numPr>
              <w:tabs>
                <w:tab w:val="left" w:pos="1440"/>
              </w:tabs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NR supports 3 levels of UE capability for UL MIMO transmission </w:t>
            </w:r>
          </w:p>
          <w:p w14:paraId="50F04B22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Full coherence</w:t>
            </w:r>
          </w:p>
          <w:p w14:paraId="2D7F40A1" w14:textId="77777777" w:rsidR="006011C8" w:rsidRPr="004C4F5B" w:rsidRDefault="006011C8" w:rsidP="003F379C">
            <w:pPr>
              <w:pStyle w:val="RAN1bullet2"/>
              <w:numPr>
                <w:ilvl w:val="2"/>
                <w:numId w:val="12"/>
              </w:numPr>
              <w:rPr>
                <w:sz w:val="18"/>
              </w:rPr>
            </w:pPr>
            <w:r w:rsidRPr="004C4F5B">
              <w:rPr>
                <w:sz w:val="18"/>
              </w:rPr>
              <w:t>All ports can be transmitted coherently</w:t>
            </w:r>
          </w:p>
          <w:p w14:paraId="05DF1BD6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Partial coherence</w:t>
            </w:r>
          </w:p>
          <w:p w14:paraId="5B3B8ED2" w14:textId="77777777" w:rsidR="006011C8" w:rsidRPr="004C4F5B" w:rsidRDefault="006011C8" w:rsidP="003F379C">
            <w:pPr>
              <w:pStyle w:val="RAN1bullet2"/>
              <w:numPr>
                <w:ilvl w:val="2"/>
                <w:numId w:val="12"/>
              </w:numPr>
              <w:rPr>
                <w:rFonts w:ascii="Times New Roman" w:hAnsi="Times New Roman"/>
                <w:i/>
                <w:sz w:val="18"/>
              </w:rPr>
            </w:pPr>
            <w:r w:rsidRPr="004C4F5B">
              <w:rPr>
                <w:rFonts w:ascii="Times New Roman" w:hAnsi="Times New Roman"/>
                <w:i/>
                <w:sz w:val="18"/>
              </w:rPr>
              <w:t>Port pairs can be transmitted coherently</w:t>
            </w:r>
          </w:p>
          <w:p w14:paraId="16E30354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Non-coherence</w:t>
            </w:r>
          </w:p>
          <w:p w14:paraId="1E037CB8" w14:textId="77777777" w:rsidR="006011C8" w:rsidRPr="004C4F5B" w:rsidRDefault="006011C8" w:rsidP="003F379C">
            <w:pPr>
              <w:pStyle w:val="RAN1bullet2"/>
              <w:numPr>
                <w:ilvl w:val="2"/>
                <w:numId w:val="12"/>
              </w:numPr>
              <w:rPr>
                <w:rFonts w:ascii="Times New Roman" w:hAnsi="Times New Roman"/>
                <w:i/>
                <w:sz w:val="18"/>
              </w:rPr>
            </w:pPr>
            <w:r w:rsidRPr="004C4F5B">
              <w:rPr>
                <w:rFonts w:ascii="Times New Roman" w:hAnsi="Times New Roman"/>
                <w:i/>
                <w:sz w:val="18"/>
              </w:rPr>
              <w:t>No port pairs can be transmitted coherently</w:t>
            </w:r>
          </w:p>
          <w:p w14:paraId="06D45219" w14:textId="77777777" w:rsidR="006011C8" w:rsidRPr="004C4F5B" w:rsidRDefault="006011C8" w:rsidP="006011C8">
            <w:pPr>
              <w:ind w:left="567" w:firstLine="567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TPMI codewords from the codebook are used by gNB accordingly</w:t>
            </w:r>
          </w:p>
          <w:p w14:paraId="1A5E45DA" w14:textId="77777777" w:rsidR="006011C8" w:rsidRPr="004C4F5B" w:rsidRDefault="006011C8" w:rsidP="006011C8">
            <w:pPr>
              <w:pStyle w:val="RAN1text"/>
              <w:ind w:left="720"/>
              <w:rPr>
                <w:i/>
                <w:sz w:val="18"/>
                <w:szCs w:val="20"/>
              </w:rPr>
            </w:pPr>
          </w:p>
          <w:p w14:paraId="2DAA7B96" w14:textId="77777777" w:rsidR="006011C8" w:rsidRPr="004C4F5B" w:rsidRDefault="006011C8" w:rsidP="003F379C">
            <w:pPr>
              <w:pStyle w:val="RAN1text"/>
              <w:numPr>
                <w:ilvl w:val="0"/>
                <w:numId w:val="16"/>
              </w:numPr>
              <w:rPr>
                <w:i/>
                <w:sz w:val="18"/>
                <w:szCs w:val="20"/>
              </w:rPr>
            </w:pPr>
            <w:r w:rsidRPr="004C4F5B">
              <w:rPr>
                <w:i/>
                <w:sz w:val="18"/>
                <w:szCs w:val="20"/>
              </w:rPr>
              <w:t>For 1 SRS resource</w:t>
            </w:r>
          </w:p>
          <w:p w14:paraId="0053F699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Full coherence</w:t>
            </w:r>
          </w:p>
          <w:p w14:paraId="3027FB8A" w14:textId="77777777" w:rsidR="006011C8" w:rsidRPr="004C4F5B" w:rsidRDefault="006011C8" w:rsidP="003F379C">
            <w:pPr>
              <w:numPr>
                <w:ilvl w:val="2"/>
                <w:numId w:val="12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All ports corresponding to ports in an SRS resource can be transmitted coherently</w:t>
            </w:r>
          </w:p>
          <w:p w14:paraId="08E99A34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Non-coherence</w:t>
            </w:r>
          </w:p>
          <w:p w14:paraId="04CD802E" w14:textId="77777777" w:rsidR="006011C8" w:rsidRPr="004C4F5B" w:rsidRDefault="006011C8" w:rsidP="003F379C">
            <w:pPr>
              <w:numPr>
                <w:ilvl w:val="2"/>
                <w:numId w:val="12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All ports corresponding to ports in an SRS resource are not transmitted coherently</w:t>
            </w:r>
          </w:p>
          <w:p w14:paraId="5ABB1C88" w14:textId="77777777" w:rsidR="006011C8" w:rsidRPr="004C4F5B" w:rsidRDefault="006011C8" w:rsidP="006011C8">
            <w:pPr>
              <w:pStyle w:val="RAN1bullet2"/>
              <w:rPr>
                <w:sz w:val="18"/>
              </w:rPr>
            </w:pPr>
            <w:r w:rsidRPr="004C4F5B">
              <w:rPr>
                <w:sz w:val="18"/>
              </w:rPr>
              <w:t>Partial coherence</w:t>
            </w:r>
          </w:p>
          <w:p w14:paraId="5742739B" w14:textId="77777777" w:rsidR="006011C8" w:rsidRPr="004C4F5B" w:rsidRDefault="006011C8" w:rsidP="003F379C">
            <w:pPr>
              <w:numPr>
                <w:ilvl w:val="2"/>
                <w:numId w:val="12"/>
              </w:num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</w:rPr>
              <w:t>Ports pairs corresponding to ports in an SRS resource can be transmitted coherently</w:t>
            </w:r>
          </w:p>
          <w:p w14:paraId="2B59F839" w14:textId="77777777" w:rsidR="006011C8" w:rsidRPr="004C4F5B" w:rsidRDefault="006011C8" w:rsidP="006011C8">
            <w:pPr>
              <w:spacing w:after="0" w:line="240" w:lineRule="auto"/>
              <w:ind w:left="720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</w:p>
          <w:p w14:paraId="3594604D" w14:textId="77777777" w:rsidR="006011C8" w:rsidRPr="004C4F5B" w:rsidRDefault="006011C8" w:rsidP="003F379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lastRenderedPageBreak/>
              <w:t>In RAN1#91, decision will be made whether, in addition to codebook based transmission using one SRS resource, codebook based transmission using multiple SRS resource including non-coherent inter-SRS resource transmission is supported</w:t>
            </w:r>
          </w:p>
          <w:p w14:paraId="183F294A" w14:textId="77777777" w:rsidR="006011C8" w:rsidRPr="004C4F5B" w:rsidRDefault="006011C8" w:rsidP="003F379C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t xml:space="preserve">Non-coherent inter-SRS resource transmission: </w:t>
            </w:r>
          </w:p>
          <w:p w14:paraId="4A1FC204" w14:textId="77777777" w:rsidR="006011C8" w:rsidRPr="004C4F5B" w:rsidRDefault="006011C8" w:rsidP="003F379C">
            <w:pPr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t>FFS: use of two DCI, with one TPMI per DCI</w:t>
            </w:r>
          </w:p>
          <w:p w14:paraId="3F62EDE4" w14:textId="77777777" w:rsidR="006011C8" w:rsidRPr="004C4F5B" w:rsidRDefault="006011C8" w:rsidP="003F379C">
            <w:pPr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t xml:space="preserve">One TPMI/TRI per SRS resource is signaled </w:t>
            </w:r>
          </w:p>
          <w:p w14:paraId="794AD7E6" w14:textId="77777777" w:rsidR="006011C8" w:rsidRDefault="006011C8" w:rsidP="003F379C">
            <w:pPr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i/>
                <w:sz w:val="18"/>
                <w:szCs w:val="20"/>
                <w:lang w:eastAsia="x-none"/>
              </w:rPr>
              <w:t>Note: Indication of selection of multiple SRS resources was agreed</w:t>
            </w:r>
          </w:p>
          <w:p w14:paraId="47498366" w14:textId="77777777" w:rsidR="009B74D2" w:rsidRPr="004C4F5B" w:rsidRDefault="009B74D2" w:rsidP="009B74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20"/>
                <w:lang w:eastAsia="x-none"/>
              </w:rPr>
            </w:pPr>
            <w:r w:rsidRPr="004C4F5B">
              <w:rPr>
                <w:rFonts w:ascii="Times New Roman" w:hAnsi="Times New Roman" w:cs="Times New Roman"/>
                <w:b/>
                <w:i/>
                <w:sz w:val="18"/>
                <w:szCs w:val="20"/>
                <w:lang w:eastAsia="x-none"/>
              </w:rPr>
              <w:t>Working Assumptions:</w:t>
            </w:r>
          </w:p>
          <w:p w14:paraId="6A42BFBC" w14:textId="77777777" w:rsidR="009B74D2" w:rsidRPr="004C4F5B" w:rsidRDefault="009B74D2" w:rsidP="003F379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  <w:t>For UL codebook based transmission with one SRS resource and a given number  of SRS ports, NR supports overhead reduction for TPMI and TPMI related signaling .</w:t>
            </w:r>
          </w:p>
          <w:p w14:paraId="1DC28DC7" w14:textId="77777777" w:rsidR="009B74D2" w:rsidRPr="004C4F5B" w:rsidRDefault="009B74D2" w:rsidP="003F379C">
            <w:pPr>
              <w:numPr>
                <w:ilvl w:val="1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  <w:t>Note: TPMI is indicated in uplink DCI</w:t>
            </w:r>
          </w:p>
          <w:p w14:paraId="4E6FAF7A" w14:textId="77777777" w:rsidR="009B74D2" w:rsidRDefault="009B74D2" w:rsidP="003F379C">
            <w:pPr>
              <w:numPr>
                <w:ilvl w:val="1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  <w:r w:rsidRPr="004C4F5B"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  <w:t>Note: Joint or separate encoding of TPMI with TRI and/or SRI is a separate issue</w:t>
            </w:r>
          </w:p>
          <w:p w14:paraId="73C9D18B" w14:textId="691E6759" w:rsidR="009B74D2" w:rsidRPr="009B74D2" w:rsidRDefault="009B74D2" w:rsidP="003F379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  <w:r w:rsidRPr="009B74D2"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  <w:t>Other details are FFS</w:t>
            </w:r>
          </w:p>
        </w:tc>
      </w:tr>
    </w:tbl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5CB48D17" w:rsidR="000D6787" w:rsidRDefault="00131BE1" w:rsidP="00FF203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 the</w:t>
      </w:r>
      <w:r w:rsidR="00FF203D" w:rsidRPr="00E56069">
        <w:rPr>
          <w:rFonts w:ascii="Times" w:hAnsi="Times" w:cs="Times"/>
        </w:rPr>
        <w:t xml:space="preserve"> contribution, we provide our views on </w:t>
      </w:r>
      <w:r w:rsidR="003F508C">
        <w:rPr>
          <w:rFonts w:ascii="Times" w:hAnsi="Times" w:cs="Times"/>
        </w:rPr>
        <w:t xml:space="preserve">TPMI size and </w:t>
      </w:r>
      <w:r w:rsidR="00FF203D" w:rsidRPr="00E56069">
        <w:rPr>
          <w:rFonts w:ascii="Times" w:hAnsi="Times" w:cs="Times"/>
        </w:rPr>
        <w:t xml:space="preserve">the </w:t>
      </w:r>
      <w:r w:rsidR="00A47C00">
        <w:rPr>
          <w:rFonts w:ascii="Times" w:hAnsi="Times" w:cs="Times"/>
        </w:rPr>
        <w:t xml:space="preserve">design of </w:t>
      </w:r>
      <w:r w:rsidR="00127020">
        <w:rPr>
          <w:rFonts w:ascii="Times" w:hAnsi="Times" w:cs="Times"/>
        </w:rPr>
        <w:t xml:space="preserve">the </w:t>
      </w:r>
      <w:r w:rsidR="00A47C00">
        <w:rPr>
          <w:rFonts w:ascii="Times" w:hAnsi="Times" w:cs="Times"/>
        </w:rPr>
        <w:t xml:space="preserve">TPMI indication </w:t>
      </w:r>
      <w:r w:rsidR="00FC353F">
        <w:rPr>
          <w:rFonts w:ascii="Times" w:hAnsi="Times" w:cs="Times"/>
        </w:rPr>
        <w:t xml:space="preserve">mechanism </w:t>
      </w:r>
      <w:r w:rsidR="00A47C00">
        <w:rPr>
          <w:rFonts w:ascii="Times" w:hAnsi="Times" w:cs="Times"/>
        </w:rPr>
        <w:t xml:space="preserve">for </w:t>
      </w:r>
      <w:r w:rsidR="00FC353F">
        <w:rPr>
          <w:rFonts w:ascii="Times" w:hAnsi="Times" w:cs="Times"/>
        </w:rPr>
        <w:t xml:space="preserve">frequency selective </w:t>
      </w:r>
      <w:r w:rsidR="00A47C00">
        <w:rPr>
          <w:rFonts w:ascii="Times" w:hAnsi="Times" w:cs="Times"/>
        </w:rPr>
        <w:t>UL codebook</w:t>
      </w:r>
      <w:r w:rsidR="00FC353F">
        <w:rPr>
          <w:rFonts w:ascii="Times" w:hAnsi="Times" w:cs="Times"/>
        </w:rPr>
        <w:t>-based</w:t>
      </w:r>
      <w:r w:rsidR="00A47C00">
        <w:rPr>
          <w:rFonts w:ascii="Times" w:hAnsi="Times" w:cs="Times"/>
        </w:rPr>
        <w:t xml:space="preserve"> transmission. </w:t>
      </w:r>
      <w:r w:rsidR="0003212F">
        <w:rPr>
          <w:rFonts w:ascii="Times" w:hAnsi="Times" w:cs="Times"/>
        </w:rPr>
        <w:t xml:space="preserve">Based on the recent agreements, we discuss </w:t>
      </w:r>
      <w:r w:rsidR="005A1519">
        <w:rPr>
          <w:rFonts w:ascii="Times" w:hAnsi="Times" w:cs="Times"/>
        </w:rPr>
        <w:t>efficient</w:t>
      </w:r>
      <w:r w:rsidR="0003212F">
        <w:rPr>
          <w:rFonts w:ascii="Times" w:hAnsi="Times" w:cs="Times"/>
        </w:rPr>
        <w:t xml:space="preserve"> definition of TPMI size and TPMI signaling to assure the required performance and signaling overhead.</w:t>
      </w:r>
    </w:p>
    <w:p w14:paraId="4B38659E" w14:textId="77777777" w:rsidR="0003212F" w:rsidRDefault="0003212F" w:rsidP="00FF203D">
      <w:pPr>
        <w:jc w:val="both"/>
        <w:rPr>
          <w:rFonts w:ascii="Times" w:hAnsi="Times" w:cs="Times"/>
        </w:rPr>
      </w:pPr>
    </w:p>
    <w:p w14:paraId="411E7BBD" w14:textId="53339823" w:rsidR="00085A01" w:rsidRPr="005066E0" w:rsidRDefault="00765F2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TPMI </w:t>
      </w:r>
      <w:r w:rsidR="00696DB0">
        <w:rPr>
          <w:sz w:val="32"/>
          <w:szCs w:val="32"/>
        </w:rPr>
        <w:t>Size</w:t>
      </w:r>
      <w:r>
        <w:rPr>
          <w:sz w:val="32"/>
          <w:szCs w:val="32"/>
        </w:rPr>
        <w:t xml:space="preserve"> </w:t>
      </w:r>
    </w:p>
    <w:p w14:paraId="4F6F918C" w14:textId="25967028" w:rsidR="004F3760" w:rsidRPr="004F3760" w:rsidRDefault="004F3760" w:rsidP="004F3760">
      <w:pPr>
        <w:jc w:val="both"/>
        <w:rPr>
          <w:rFonts w:ascii="Times" w:hAnsi="Times" w:cs="Times"/>
        </w:rPr>
      </w:pPr>
      <w:r w:rsidRPr="004F3760">
        <w:rPr>
          <w:rFonts w:ascii="Times" w:hAnsi="Times" w:cs="Times"/>
        </w:rPr>
        <w:t xml:space="preserve">In an uplink transmission with codebook-based frequency selective precoding, the transmit precoding matrix indices (TPMI) to be used by the UE for an uplink transmission </w:t>
      </w:r>
      <w:r>
        <w:rPr>
          <w:rFonts w:ascii="Times" w:hAnsi="Times" w:cs="Times"/>
        </w:rPr>
        <w:t>are indicated</w:t>
      </w:r>
      <w:r w:rsidRPr="004F3760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to the UE through</w:t>
      </w:r>
      <w:r w:rsidRPr="004F3760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a DCI</w:t>
      </w:r>
      <w:r w:rsidRPr="004F3760">
        <w:rPr>
          <w:rFonts w:ascii="Times" w:hAnsi="Times" w:cs="Times"/>
        </w:rPr>
        <w:t xml:space="preserve">. </w:t>
      </w:r>
      <w:r>
        <w:rPr>
          <w:rFonts w:ascii="Times" w:hAnsi="Times" w:cs="Times"/>
        </w:rPr>
        <w:t>Therefore, for frequency selective precoding, where multiple TPMIs are needed to be signaled to a UE, the TPMI s</w:t>
      </w:r>
      <w:r w:rsidR="005A1519">
        <w:rPr>
          <w:rFonts w:ascii="Times" w:hAnsi="Times" w:cs="Times"/>
        </w:rPr>
        <w:t xml:space="preserve">ize becomes an important issue </w:t>
      </w:r>
      <w:r>
        <w:rPr>
          <w:rFonts w:ascii="Times" w:hAnsi="Times" w:cs="Times"/>
        </w:rPr>
        <w:t xml:space="preserve">as it has a direct impact on the DL signaling overhead. </w:t>
      </w:r>
    </w:p>
    <w:p w14:paraId="5B10053C" w14:textId="5BFBE356" w:rsidR="00377EF4" w:rsidRDefault="004F3760" w:rsidP="004F3760">
      <w:pPr>
        <w:jc w:val="both"/>
        <w:rPr>
          <w:rFonts w:ascii="Times" w:hAnsi="Times" w:cs="Times"/>
        </w:rPr>
      </w:pPr>
      <w:r w:rsidRPr="004F3760">
        <w:rPr>
          <w:rFonts w:ascii="Times" w:hAnsi="Times" w:cs="Times"/>
        </w:rPr>
        <w:t xml:space="preserve">In a codebook-based precoding, each entry of the codebook is addressed by a TPMI. Therefore, the size or the number of bits required for each TPMI depends on the size of the codebook. </w:t>
      </w:r>
      <w:r>
        <w:rPr>
          <w:rFonts w:ascii="Times" w:hAnsi="Times" w:cs="Times"/>
        </w:rPr>
        <w:t xml:space="preserve">Since a </w:t>
      </w:r>
      <w:r w:rsidRPr="004F3760">
        <w:rPr>
          <w:rFonts w:ascii="Times" w:hAnsi="Times" w:cs="Times"/>
        </w:rPr>
        <w:t xml:space="preserve">codebook </w:t>
      </w:r>
      <w:r>
        <w:rPr>
          <w:rFonts w:ascii="Times" w:hAnsi="Times" w:cs="Times"/>
        </w:rPr>
        <w:t>is universally</w:t>
      </w:r>
      <w:r w:rsidRPr="004F3760">
        <w:rPr>
          <w:rFonts w:ascii="Times" w:hAnsi="Times" w:cs="Times"/>
        </w:rPr>
        <w:t xml:space="preserve"> defined</w:t>
      </w:r>
      <w:r>
        <w:rPr>
          <w:rFonts w:ascii="Times" w:hAnsi="Times" w:cs="Times"/>
        </w:rPr>
        <w:t>, its overall size may not</w:t>
      </w:r>
      <w:r w:rsidRPr="004F3760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 optimum for all use cases</w:t>
      </w:r>
      <w:r w:rsidR="00377EF4">
        <w:rPr>
          <w:rFonts w:ascii="Times" w:hAnsi="Times" w:cs="Times"/>
        </w:rPr>
        <w:t xml:space="preserve">. Therefore, </w:t>
      </w:r>
      <w:r w:rsidR="00377EF4" w:rsidRPr="004F3760">
        <w:rPr>
          <w:rFonts w:ascii="Times" w:hAnsi="Times" w:cs="Times"/>
        </w:rPr>
        <w:t>codebook subset restriction (CBSR)</w:t>
      </w:r>
      <w:r w:rsidR="00377EF4">
        <w:rPr>
          <w:rFonts w:ascii="Times" w:hAnsi="Times" w:cs="Times"/>
        </w:rPr>
        <w:t xml:space="preserve"> can be used to improve the efficiency of the overhead signaling by reducing the number of DCI bits per TPMI. CBSR</w:t>
      </w:r>
      <w:r w:rsidR="00377EF4" w:rsidRPr="004F3760">
        <w:rPr>
          <w:rFonts w:ascii="Times" w:hAnsi="Times" w:cs="Times"/>
        </w:rPr>
        <w:t xml:space="preserve"> may be based on different operational requirements. For example, a CBSR may be realized </w:t>
      </w:r>
      <w:r w:rsidR="00377EF4">
        <w:rPr>
          <w:rFonts w:ascii="Times" w:hAnsi="Times" w:cs="Times"/>
        </w:rPr>
        <w:t>in a number of scenarios, such as</w:t>
      </w:r>
      <w:r w:rsidR="00377EF4" w:rsidRPr="004F3760">
        <w:rPr>
          <w:rFonts w:ascii="Times" w:hAnsi="Times" w:cs="Times"/>
        </w:rPr>
        <w:t xml:space="preserve">: reducing inter- or intra-cell interference, assisting MU pairing, UE mobility, UE transmission capability, etc. </w:t>
      </w:r>
    </w:p>
    <w:p w14:paraId="53E04EBA" w14:textId="2E7F644D" w:rsidR="00C42BF9" w:rsidRPr="004F3760" w:rsidRDefault="00C42BF9" w:rsidP="00C42BF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the last meeting [1], </w:t>
      </w:r>
      <w:r w:rsidRPr="004F3760">
        <w:rPr>
          <w:rFonts w:ascii="Times" w:hAnsi="Times" w:cs="Times"/>
        </w:rPr>
        <w:t xml:space="preserve">three </w:t>
      </w:r>
      <w:r>
        <w:rPr>
          <w:rFonts w:ascii="Times" w:hAnsi="Times" w:cs="Times"/>
        </w:rPr>
        <w:t xml:space="preserve">levels </w:t>
      </w:r>
      <w:r w:rsidRPr="004F3760">
        <w:rPr>
          <w:rFonts w:ascii="Times" w:hAnsi="Times" w:cs="Times"/>
        </w:rPr>
        <w:t xml:space="preserve">of </w:t>
      </w:r>
      <w:bookmarkStart w:id="3" w:name="_Hlk498513943"/>
      <w:r>
        <w:rPr>
          <w:rFonts w:ascii="Times" w:hAnsi="Times" w:cs="Times"/>
        </w:rPr>
        <w:t xml:space="preserve">UE capability for </w:t>
      </w:r>
      <w:r w:rsidRPr="004F3760">
        <w:rPr>
          <w:rFonts w:ascii="Times" w:hAnsi="Times" w:cs="Times"/>
        </w:rPr>
        <w:t xml:space="preserve">uplink </w:t>
      </w:r>
      <w:r>
        <w:rPr>
          <w:rFonts w:ascii="Times" w:hAnsi="Times" w:cs="Times"/>
        </w:rPr>
        <w:t xml:space="preserve">MIMO </w:t>
      </w:r>
      <w:r w:rsidRPr="004F3760">
        <w:rPr>
          <w:rFonts w:ascii="Times" w:hAnsi="Times" w:cs="Times"/>
        </w:rPr>
        <w:t xml:space="preserve">transmission </w:t>
      </w:r>
      <w:bookmarkEnd w:id="3"/>
      <w:r>
        <w:rPr>
          <w:rFonts w:ascii="Times" w:hAnsi="Times" w:cs="Times"/>
        </w:rPr>
        <w:t>were agreed</w:t>
      </w:r>
      <w:r w:rsidRPr="004F3760">
        <w:rPr>
          <w:rFonts w:ascii="Times" w:hAnsi="Times" w:cs="Times"/>
        </w:rPr>
        <w:t>;</w:t>
      </w:r>
    </w:p>
    <w:p w14:paraId="2E24DD63" w14:textId="7888B881" w:rsidR="00C42BF9" w:rsidRPr="00C42BF9" w:rsidRDefault="00C42BF9" w:rsidP="003F379C">
      <w:pPr>
        <w:pStyle w:val="ListParagraph"/>
        <w:numPr>
          <w:ilvl w:val="0"/>
          <w:numId w:val="17"/>
        </w:numPr>
        <w:jc w:val="both"/>
        <w:rPr>
          <w:rFonts w:ascii="Times" w:hAnsi="Times" w:cs="Times"/>
        </w:rPr>
      </w:pPr>
      <w:r w:rsidRPr="00C42BF9">
        <w:rPr>
          <w:rFonts w:ascii="Times" w:hAnsi="Times" w:cs="Times"/>
          <w:i/>
        </w:rPr>
        <w:t>Full coherence</w:t>
      </w:r>
      <w:r w:rsidR="00E82E48">
        <w:rPr>
          <w:rFonts w:ascii="Times" w:hAnsi="Times" w:cs="Times"/>
          <w:i/>
        </w:rPr>
        <w:t>:</w:t>
      </w:r>
      <w:r w:rsidR="00E82E48">
        <w:rPr>
          <w:rFonts w:ascii="Times" w:hAnsi="Times" w:cs="Times"/>
        </w:rPr>
        <w:tab/>
      </w:r>
      <w:r w:rsidR="00E82E48">
        <w:rPr>
          <w:rFonts w:ascii="Times" w:hAnsi="Times" w:cs="Times"/>
        </w:rPr>
        <w:tab/>
      </w:r>
      <w:r w:rsidRPr="00C42BF9">
        <w:rPr>
          <w:rFonts w:ascii="Times" w:hAnsi="Times" w:cs="Times"/>
        </w:rPr>
        <w:t>All ports can be transmitted coherently</w:t>
      </w:r>
    </w:p>
    <w:p w14:paraId="60D3DC1B" w14:textId="1A2FFE72" w:rsidR="00C42BF9" w:rsidRPr="00C42BF9" w:rsidRDefault="00C42BF9" w:rsidP="003F379C">
      <w:pPr>
        <w:pStyle w:val="ListParagraph"/>
        <w:numPr>
          <w:ilvl w:val="0"/>
          <w:numId w:val="17"/>
        </w:numPr>
        <w:jc w:val="both"/>
        <w:rPr>
          <w:rFonts w:ascii="Times" w:hAnsi="Times" w:cs="Times"/>
        </w:rPr>
      </w:pPr>
      <w:r w:rsidRPr="00C42BF9">
        <w:rPr>
          <w:rFonts w:ascii="Times" w:hAnsi="Times" w:cs="Times"/>
          <w:i/>
        </w:rPr>
        <w:t>Partial coherence</w:t>
      </w:r>
      <w:r w:rsidR="00E82E48">
        <w:rPr>
          <w:rFonts w:ascii="Times" w:hAnsi="Times" w:cs="Times"/>
          <w:i/>
        </w:rPr>
        <w:t>:</w:t>
      </w:r>
      <w:r w:rsidR="00E82E48">
        <w:rPr>
          <w:rFonts w:ascii="Times" w:hAnsi="Times" w:cs="Times"/>
        </w:rPr>
        <w:tab/>
      </w:r>
      <w:r w:rsidRPr="00C42BF9">
        <w:rPr>
          <w:rFonts w:ascii="Times" w:hAnsi="Times" w:cs="Times"/>
        </w:rPr>
        <w:t>Port pairs can be transmitted coherently</w:t>
      </w:r>
    </w:p>
    <w:p w14:paraId="0AED06B9" w14:textId="618EAADE" w:rsidR="00C42BF9" w:rsidRDefault="00C42BF9" w:rsidP="003F379C">
      <w:pPr>
        <w:pStyle w:val="ListParagraph"/>
        <w:numPr>
          <w:ilvl w:val="0"/>
          <w:numId w:val="17"/>
        </w:numPr>
        <w:jc w:val="both"/>
        <w:rPr>
          <w:rFonts w:ascii="Times" w:hAnsi="Times" w:cs="Times"/>
        </w:rPr>
      </w:pPr>
      <w:r w:rsidRPr="00C42BF9">
        <w:rPr>
          <w:rFonts w:ascii="Times" w:hAnsi="Times" w:cs="Times"/>
          <w:i/>
        </w:rPr>
        <w:t>Non-coherence</w:t>
      </w:r>
      <w:r w:rsidR="00E82E48">
        <w:rPr>
          <w:rFonts w:ascii="Times" w:hAnsi="Times" w:cs="Times"/>
          <w:i/>
        </w:rPr>
        <w:t>:</w:t>
      </w:r>
      <w:r w:rsidR="00E82E48">
        <w:rPr>
          <w:rFonts w:ascii="Times" w:hAnsi="Times" w:cs="Times"/>
        </w:rPr>
        <w:tab/>
      </w:r>
      <w:r w:rsidR="00E82E48">
        <w:rPr>
          <w:rFonts w:ascii="Times" w:hAnsi="Times" w:cs="Times"/>
        </w:rPr>
        <w:tab/>
      </w:r>
      <w:r w:rsidRPr="00C42BF9">
        <w:rPr>
          <w:rFonts w:ascii="Times" w:hAnsi="Times" w:cs="Times"/>
        </w:rPr>
        <w:t>No port pairs can be transmitted coherently</w:t>
      </w:r>
      <w:r>
        <w:rPr>
          <w:rFonts w:ascii="Times" w:hAnsi="Times" w:cs="Times"/>
        </w:rPr>
        <w:t>.</w:t>
      </w:r>
    </w:p>
    <w:p w14:paraId="18393E1A" w14:textId="77777777" w:rsidR="00C42BF9" w:rsidRPr="00C42BF9" w:rsidRDefault="00C42BF9" w:rsidP="00C42BF9">
      <w:pPr>
        <w:pStyle w:val="ListParagraph"/>
        <w:jc w:val="both"/>
        <w:rPr>
          <w:rFonts w:ascii="Times" w:hAnsi="Times" w:cs="Times"/>
        </w:rPr>
      </w:pPr>
    </w:p>
    <w:p w14:paraId="6AE14FE9" w14:textId="315C535B" w:rsidR="00C42BF9" w:rsidRPr="004F3760" w:rsidRDefault="00C42BF9" w:rsidP="00C42BF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MIMO transmission </w:t>
      </w:r>
      <w:r w:rsidR="009F541A">
        <w:rPr>
          <w:rFonts w:ascii="Times" w:hAnsi="Times" w:cs="Times"/>
        </w:rPr>
        <w:t xml:space="preserve">capability is different </w:t>
      </w:r>
      <w:r>
        <w:rPr>
          <w:rFonts w:ascii="Times" w:hAnsi="Times" w:cs="Times"/>
        </w:rPr>
        <w:t xml:space="preserve">in </w:t>
      </w:r>
      <w:r w:rsidRPr="004F3760">
        <w:rPr>
          <w:rFonts w:ascii="Times" w:hAnsi="Times" w:cs="Times"/>
        </w:rPr>
        <w:t xml:space="preserve">each </w:t>
      </w:r>
      <w:r w:rsidR="009F541A">
        <w:rPr>
          <w:rFonts w:ascii="Times" w:hAnsi="Times" w:cs="Times"/>
        </w:rPr>
        <w:t xml:space="preserve">of the above mentioned levels, </w:t>
      </w:r>
      <w:r w:rsidR="00C4781F">
        <w:rPr>
          <w:rFonts w:ascii="Times" w:hAnsi="Times" w:cs="Times"/>
        </w:rPr>
        <w:t>for each case only a subset of the codebook is required.</w:t>
      </w:r>
      <w:r w:rsidRPr="004F3760">
        <w:rPr>
          <w:rFonts w:ascii="Times" w:hAnsi="Times" w:cs="Times"/>
        </w:rPr>
        <w:t xml:space="preserve"> As such, the TPMI size </w:t>
      </w:r>
      <w:r w:rsidR="00C4781F">
        <w:rPr>
          <w:rFonts w:ascii="Times" w:hAnsi="Times" w:cs="Times"/>
        </w:rPr>
        <w:t>can</w:t>
      </w:r>
      <w:r w:rsidRPr="004F3760">
        <w:rPr>
          <w:rFonts w:ascii="Times" w:hAnsi="Times" w:cs="Times"/>
        </w:rPr>
        <w:t xml:space="preserve"> be adjusted to match the multiplicity of the subset, and avoid using extra overhead for TPMI indication.</w:t>
      </w:r>
    </w:p>
    <w:p w14:paraId="6FF5AFA7" w14:textId="38EA8ADC" w:rsidR="00317459" w:rsidRDefault="00430690" w:rsidP="00430690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="00317459">
        <w:rPr>
          <w:rFonts w:ascii="Times" w:hAnsi="Times" w:cs="Times"/>
          <w:b/>
          <w:i/>
        </w:rPr>
        <w:t xml:space="preserve">Use </w:t>
      </w:r>
      <w:r w:rsidR="00317459" w:rsidRPr="00317459">
        <w:rPr>
          <w:rFonts w:ascii="Times" w:hAnsi="Times" w:cs="Times"/>
          <w:b/>
          <w:i/>
        </w:rPr>
        <w:t xml:space="preserve">UE </w:t>
      </w:r>
      <w:r w:rsidR="00317459">
        <w:rPr>
          <w:rFonts w:ascii="Times" w:hAnsi="Times" w:cs="Times"/>
          <w:b/>
          <w:i/>
        </w:rPr>
        <w:t xml:space="preserve">coherence </w:t>
      </w:r>
      <w:r w:rsidR="00317459" w:rsidRPr="00317459">
        <w:rPr>
          <w:rFonts w:ascii="Times" w:hAnsi="Times" w:cs="Times"/>
          <w:b/>
          <w:i/>
        </w:rPr>
        <w:t xml:space="preserve">capability </w:t>
      </w:r>
      <w:r w:rsidR="00317459">
        <w:rPr>
          <w:rFonts w:ascii="Times" w:hAnsi="Times" w:cs="Times"/>
          <w:b/>
          <w:i/>
        </w:rPr>
        <w:t>information to adjust TPMI bit size by CBSR.</w:t>
      </w:r>
    </w:p>
    <w:p w14:paraId="18DDE9B9" w14:textId="7347090D" w:rsidR="00317459" w:rsidRPr="00317459" w:rsidRDefault="00317459" w:rsidP="007125AE">
      <w:pPr>
        <w:jc w:val="both"/>
        <w:rPr>
          <w:rFonts w:ascii="Times" w:hAnsi="Times" w:cs="Times"/>
        </w:rPr>
      </w:pPr>
      <w:r w:rsidRPr="00317459">
        <w:rPr>
          <w:rFonts w:ascii="Times" w:hAnsi="Times" w:cs="Times"/>
        </w:rPr>
        <w:t xml:space="preserve">Table </w:t>
      </w:r>
      <w:r>
        <w:rPr>
          <w:rFonts w:ascii="Times" w:hAnsi="Times" w:cs="Times"/>
        </w:rPr>
        <w:t>1 below shows the agreed codebook for DFT-s-OFDM rank-1 transmission. Assuming a similar structure for CP-OFDM uplink transmission</w:t>
      </w:r>
      <w:r w:rsidRPr="007125AE">
        <w:rPr>
          <w:rFonts w:ascii="Times" w:hAnsi="Times" w:cs="Times"/>
        </w:rPr>
        <w:t xml:space="preserve">, to address all entries of the table, at least a TPMI with a size of 5 bits is required. However, not all the entries of the codebook are needed for a given UE capability. For example, for a UE with only non-coherence transmission capability, only a TPMI with a size of 2 bits may be required to address any of the 24-27 entries. </w:t>
      </w:r>
    </w:p>
    <w:tbl>
      <w:tblPr>
        <w:tblW w:w="9720" w:type="dxa"/>
        <w:jc w:val="center"/>
        <w:tblLayout w:type="fixed"/>
        <w:tblLook w:val="01E0" w:firstRow="1" w:lastRow="1" w:firstColumn="1" w:lastColumn="1" w:noHBand="0" w:noVBand="0"/>
      </w:tblPr>
      <w:tblGrid>
        <w:gridCol w:w="1440"/>
        <w:gridCol w:w="810"/>
        <w:gridCol w:w="990"/>
        <w:gridCol w:w="828"/>
        <w:gridCol w:w="882"/>
        <w:gridCol w:w="990"/>
        <w:gridCol w:w="810"/>
        <w:gridCol w:w="990"/>
        <w:gridCol w:w="990"/>
        <w:gridCol w:w="990"/>
      </w:tblGrid>
      <w:tr w:rsidR="00D600FD" w:rsidRPr="00193F28" w14:paraId="212E70A7" w14:textId="77777777" w:rsidTr="00D600FD">
        <w:trPr>
          <w:cantSplit/>
          <w:jc w:val="center"/>
        </w:trPr>
        <w:tc>
          <w:tcPr>
            <w:tcW w:w="9720" w:type="dxa"/>
            <w:gridSpan w:val="10"/>
          </w:tcPr>
          <w:p w14:paraId="3E676F87" w14:textId="33897F8C" w:rsidR="00D600FD" w:rsidRPr="00317459" w:rsidRDefault="00D600FD" w:rsidP="002266EB">
            <w:pPr>
              <w:pStyle w:val="TAH"/>
              <w:rPr>
                <w:rFonts w:ascii="Times New Roman" w:hAnsi="Times New Roman"/>
                <w:sz w:val="16"/>
              </w:rPr>
            </w:pPr>
            <w:r w:rsidRPr="006F4217">
              <w:rPr>
                <w:rFonts w:ascii="Times" w:hAnsi="Times" w:cs="Times"/>
                <w:sz w:val="20"/>
              </w:rPr>
              <w:t xml:space="preserve">Table 1 </w:t>
            </w:r>
            <w:r>
              <w:rPr>
                <w:rFonts w:ascii="Times" w:hAnsi="Times" w:cs="Times"/>
                <w:sz w:val="20"/>
              </w:rPr>
              <w:t xml:space="preserve">- </w:t>
            </w:r>
            <w:r w:rsidRPr="006F4217">
              <w:rPr>
                <w:rFonts w:ascii="Times" w:hAnsi="Times" w:cs="Times"/>
                <w:sz w:val="20"/>
              </w:rPr>
              <w:t>UL codebook for DFT-s-OFDM rank-1 transmission</w:t>
            </w:r>
          </w:p>
        </w:tc>
      </w:tr>
      <w:tr w:rsidR="00D600FD" w:rsidRPr="00193F28" w14:paraId="14CEB976" w14:textId="77777777" w:rsidTr="00D600FD">
        <w:trPr>
          <w:cantSplit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93D78" w14:textId="29DD3433" w:rsidR="00D600FD" w:rsidRPr="00317459" w:rsidRDefault="00D600FD" w:rsidP="002266EB">
            <w:pPr>
              <w:pStyle w:val="TA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UE Coherence Capability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2CF5F64" w14:textId="104342EF" w:rsidR="00D600FD" w:rsidRPr="00317459" w:rsidRDefault="00D600FD" w:rsidP="002266EB">
            <w:pPr>
              <w:pStyle w:val="TA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CB</w:t>
            </w:r>
            <w:r w:rsidRPr="00317459">
              <w:rPr>
                <w:rFonts w:ascii="Times New Roman" w:hAnsi="Times New Roman"/>
                <w:sz w:val="16"/>
              </w:rPr>
              <w:t xml:space="preserve"> index</w:t>
            </w:r>
          </w:p>
        </w:tc>
        <w:tc>
          <w:tcPr>
            <w:tcW w:w="74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8B587D" w14:textId="7DDFA6B8" w:rsidR="00D600FD" w:rsidRPr="00317459" w:rsidRDefault="00D600FD" w:rsidP="002266EB">
            <w:pPr>
              <w:pStyle w:val="TAH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 xml:space="preserve">Number of layers </w:t>
            </w:r>
            <w:r w:rsidRPr="00317459">
              <w:rPr>
                <w:rFonts w:ascii="Times New Roman" w:hAnsi="Times New Roman"/>
                <w:position w:val="-6"/>
                <w:sz w:val="16"/>
              </w:rPr>
              <w:object w:dxaOrig="468" w:dyaOrig="240" w14:anchorId="5C5B42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2.2pt" o:ole="">
                  <v:imagedata r:id="rId12" o:title=""/>
                </v:shape>
                <o:OLEObject Type="Embed" ProgID="Equation.3" ShapeID="_x0000_i1025" DrawAspect="Content" ObjectID="_1572439423" r:id="rId13"/>
              </w:object>
            </w:r>
          </w:p>
        </w:tc>
      </w:tr>
      <w:tr w:rsidR="00D600FD" w:rsidRPr="00193F28" w14:paraId="0E02F88C" w14:textId="77777777" w:rsidTr="00D600F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86E" w14:textId="2A18D04E" w:rsidR="00D600FD" w:rsidRPr="00D600FD" w:rsidRDefault="00D600FD" w:rsidP="002266EB">
            <w:pPr>
              <w:pStyle w:val="TAC"/>
              <w:rPr>
                <w:rFonts w:ascii="Times New Roman" w:hAnsi="Times New Roman"/>
                <w:b/>
                <w:sz w:val="16"/>
              </w:rPr>
            </w:pPr>
            <w:r w:rsidRPr="00D600FD">
              <w:rPr>
                <w:rFonts w:ascii="Times New Roman" w:hAnsi="Times New Roman"/>
                <w:b/>
                <w:color w:val="00B050"/>
                <w:sz w:val="16"/>
              </w:rPr>
              <w:t>Full Coherent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5B1" w14:textId="4927E389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0 – 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9F7C" w14:textId="6177C0E1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20" w:dyaOrig="1440" w14:anchorId="342371DD">
                <v:shape id="_x0000_i1026" type="#_x0000_t75" style="width:36.35pt;height:1in" o:ole="">
                  <v:imagedata r:id="rId14" o:title=""/>
                </v:shape>
                <o:OLEObject Type="Embed" ProgID="Equation.3" ShapeID="_x0000_i1026" DrawAspect="Content" ObjectID="_1572439424" r:id="rId15"/>
              </w:objec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3F60" w14:textId="70048ABE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600" w:dyaOrig="1440" w14:anchorId="4ED3F71D">
                <v:shape id="_x0000_i1027" type="#_x0000_t75" style="width:30.5pt;height:1in" o:ole="">
                  <v:imagedata r:id="rId16" o:title=""/>
                </v:shape>
                <o:OLEObject Type="Embed" ProgID="Equation.3" ShapeID="_x0000_i1027" DrawAspect="Content" ObjectID="_1572439425" r:id="rId17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0BEF" w14:textId="28964508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20" w:dyaOrig="1440" w14:anchorId="34BBE67B">
                <v:shape id="_x0000_i1028" type="#_x0000_t75" style="width:36.35pt;height:1in" o:ole="">
                  <v:imagedata r:id="rId18" o:title=""/>
                </v:shape>
                <o:OLEObject Type="Embed" ProgID="Equation.3" ShapeID="_x0000_i1028" DrawAspect="Content" ObjectID="_1572439426" r:id="rId19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A34B" w14:textId="25DE7A81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2785D972">
                <v:shape id="_x0000_i1029" type="#_x0000_t75" style="width:38.7pt;height:1in" o:ole="">
                  <v:imagedata r:id="rId20" o:title=""/>
                </v:shape>
                <o:OLEObject Type="Embed" ProgID="Equation.3" ShapeID="_x0000_i1029" DrawAspect="Content" ObjectID="_1572439427" r:id="rId21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5B6C" w14:textId="4D275CA6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600" w:dyaOrig="1440" w14:anchorId="54F3BF4F">
                <v:shape id="_x0000_i1030" type="#_x0000_t75" style="width:30.5pt;height:1in" o:ole="">
                  <v:imagedata r:id="rId22" o:title=""/>
                </v:shape>
                <o:OLEObject Type="Embed" ProgID="Equation.3" ShapeID="_x0000_i1030" DrawAspect="Content" ObjectID="_1572439428" r:id="rId23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CB8" w14:textId="5D765F3B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600" w:dyaOrig="1440" w14:anchorId="25FF0BD3">
                <v:shape id="_x0000_i1031" type="#_x0000_t75" style="width:30.5pt;height:1in" o:ole="">
                  <v:imagedata r:id="rId24" o:title=""/>
                </v:shape>
                <o:OLEObject Type="Embed" ProgID="Equation.3" ShapeID="_x0000_i1031" DrawAspect="Content" ObjectID="_1572439429" r:id="rId25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9A8F" w14:textId="6DEE6C5F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44755420">
                <v:shape id="_x0000_i1032" type="#_x0000_t75" style="width:38.7pt;height:1in" o:ole="">
                  <v:imagedata r:id="rId26" o:title=""/>
                </v:shape>
                <o:OLEObject Type="Embed" ProgID="Equation.3" ShapeID="_x0000_i1032" DrawAspect="Content" ObjectID="_1572439430" r:id="rId27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2004" w14:textId="01EC0913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64292B7C">
                <v:shape id="_x0000_i1033" type="#_x0000_t75" style="width:38.7pt;height:1in" o:ole="">
                  <v:imagedata r:id="rId28" o:title=""/>
                </v:shape>
                <o:OLEObject Type="Embed" ProgID="Equation.3" ShapeID="_x0000_i1033" DrawAspect="Content" ObjectID="_1572439431" r:id="rId29"/>
              </w:object>
            </w:r>
          </w:p>
        </w:tc>
      </w:tr>
      <w:tr w:rsidR="00D600FD" w:rsidRPr="00193F28" w14:paraId="6E290625" w14:textId="77777777" w:rsidTr="00D600F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A25" w14:textId="34C2ACB2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D600FD">
              <w:rPr>
                <w:rFonts w:ascii="Times New Roman" w:hAnsi="Times New Roman"/>
                <w:b/>
                <w:color w:val="00B050"/>
                <w:sz w:val="16"/>
              </w:rPr>
              <w:t>Full Coherent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C417" w14:textId="2825D4AB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8 – 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66CC" w14:textId="7A52B032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20" w:dyaOrig="1440" w14:anchorId="1A76286A">
                <v:shape id="_x0000_i1034" type="#_x0000_t75" style="width:36.35pt;height:1in" o:ole="">
                  <v:imagedata r:id="rId30" o:title=""/>
                </v:shape>
                <o:OLEObject Type="Embed" ProgID="Equation.3" ShapeID="_x0000_i1034" DrawAspect="Content" ObjectID="_1572439432" r:id="rId31"/>
              </w:objec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5BAD" w14:textId="7780D6B8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41F9215B">
                <v:shape id="_x0000_i1035" type="#_x0000_t75" style="width:38.7pt;height:1in" o:ole="">
                  <v:imagedata r:id="rId32" o:title=""/>
                </v:shape>
                <o:OLEObject Type="Embed" ProgID="Equation.3" ShapeID="_x0000_i1035" DrawAspect="Content" ObjectID="_1572439433" r:id="rId33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E533" w14:textId="464EBB7B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20" w:dyaOrig="1440" w14:anchorId="0D817867">
                <v:shape id="_x0000_i1036" type="#_x0000_t75" style="width:36.35pt;height:1in" o:ole="">
                  <v:imagedata r:id="rId34" o:title=""/>
                </v:shape>
                <o:OLEObject Type="Embed" ProgID="Equation.3" ShapeID="_x0000_i1036" DrawAspect="Content" ObjectID="_1572439434" r:id="rId35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97D7" w14:textId="7177B3B1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3AF4C0D0">
                <v:shape id="_x0000_i1037" type="#_x0000_t75" style="width:38.7pt;height:1in" o:ole="">
                  <v:imagedata r:id="rId36" o:title=""/>
                </v:shape>
                <o:OLEObject Type="Embed" ProgID="Equation.3" ShapeID="_x0000_i1037" DrawAspect="Content" ObjectID="_1572439435" r:id="rId37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E36E" w14:textId="3026AEB2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5A95CAA5">
                <v:shape id="_x0000_i1038" type="#_x0000_t75" style="width:38.7pt;height:1in" o:ole="">
                  <v:imagedata r:id="rId38" o:title=""/>
                </v:shape>
                <o:OLEObject Type="Embed" ProgID="Equation.3" ShapeID="_x0000_i1038" DrawAspect="Content" ObjectID="_1572439436" r:id="rId39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C202" w14:textId="570DADAA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3F8C090A">
                <v:shape id="_x0000_i1039" type="#_x0000_t75" style="width:38.7pt;height:1in" o:ole="">
                  <v:imagedata r:id="rId40" o:title=""/>
                </v:shape>
                <o:OLEObject Type="Embed" ProgID="Equation.3" ShapeID="_x0000_i1039" DrawAspect="Content" ObjectID="_1572439437" r:id="rId41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B8C5" w14:textId="69B60EC2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7A438A17">
                <v:shape id="_x0000_i1040" type="#_x0000_t75" style="width:38.7pt;height:1in" o:ole="">
                  <v:imagedata r:id="rId42" o:title=""/>
                </v:shape>
                <o:OLEObject Type="Embed" ProgID="Equation.3" ShapeID="_x0000_i1040" DrawAspect="Content" ObjectID="_1572439438" r:id="rId43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22B9" w14:textId="2B849818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0C157CCF">
                <v:shape id="_x0000_i1041" type="#_x0000_t75" style="width:38.7pt;height:1in" o:ole="">
                  <v:imagedata r:id="rId44" o:title=""/>
                </v:shape>
                <o:OLEObject Type="Embed" ProgID="Equation.3" ShapeID="_x0000_i1041" DrawAspect="Content" ObjectID="_1572439439" r:id="rId45"/>
              </w:object>
            </w:r>
          </w:p>
        </w:tc>
      </w:tr>
      <w:tr w:rsidR="00D600FD" w:rsidRPr="00193F28" w14:paraId="1C202790" w14:textId="77777777" w:rsidTr="00D600F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2CA" w14:textId="77777777" w:rsidR="00D600FD" w:rsidRDefault="00D600FD" w:rsidP="002266EB">
            <w:pPr>
              <w:pStyle w:val="TAC"/>
              <w:rPr>
                <w:rFonts w:ascii="Times New Roman" w:hAnsi="Times New Roman"/>
                <w:b/>
                <w:color w:val="00B050"/>
                <w:sz w:val="16"/>
              </w:rPr>
            </w:pPr>
            <w:r w:rsidRPr="00D600FD">
              <w:rPr>
                <w:rFonts w:ascii="Times New Roman" w:hAnsi="Times New Roman"/>
                <w:b/>
                <w:color w:val="00B050"/>
                <w:sz w:val="16"/>
              </w:rPr>
              <w:t>Full Coherent</w:t>
            </w:r>
          </w:p>
          <w:p w14:paraId="0682594A" w14:textId="53D184B2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D600FD">
              <w:rPr>
                <w:rFonts w:ascii="Times New Roman" w:hAnsi="Times New Roman"/>
                <w:b/>
                <w:color w:val="0070C0"/>
                <w:sz w:val="16"/>
              </w:rPr>
              <w:t>Partial Coherent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ABB5" w14:textId="47FB15DB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16 – 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18BD" w14:textId="085D8EA7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580" w:dyaOrig="1440" w14:anchorId="2F61CCC5">
                <v:shape id="_x0000_i1042" type="#_x0000_t75" style="width:29.55pt;height:1in" o:ole="">
                  <v:imagedata r:id="rId46" o:title=""/>
                </v:shape>
                <o:OLEObject Type="Embed" ProgID="Equation.3" ShapeID="_x0000_i1042" DrawAspect="Content" ObjectID="_1572439440" r:id="rId47"/>
              </w:objec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10A2" w14:textId="77777777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position w:val="-56"/>
                <w:sz w:val="16"/>
              </w:rPr>
              <w:object w:dxaOrig="612" w:dyaOrig="1212" w14:anchorId="55F9648D">
                <v:shape id="_x0000_i1043" type="#_x0000_t75" style="width:30.95pt;height:60.25pt" o:ole="">
                  <v:imagedata r:id="rId48" o:title=""/>
                </v:shape>
                <o:OLEObject Type="Embed" ProgID="Equation.3" ShapeID="_x0000_i1043" DrawAspect="Content" ObjectID="_1572439441" r:id="rId49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E7FF" w14:textId="4A2F5181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600" w:dyaOrig="1440" w14:anchorId="5B935DE5">
                <v:shape id="_x0000_i1044" type="#_x0000_t75" style="width:30.5pt;height:1in" o:ole="">
                  <v:imagedata r:id="rId50" o:title=""/>
                </v:shape>
                <o:OLEObject Type="Embed" ProgID="Equation.3" ShapeID="_x0000_i1044" DrawAspect="Content" ObjectID="_1572439442" r:id="rId51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16F9" w14:textId="14568C92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3F8610E1">
                <v:shape id="_x0000_i1045" type="#_x0000_t75" style="width:38.7pt;height:1in" o:ole="">
                  <v:imagedata r:id="rId52" o:title=""/>
                </v:shape>
                <o:OLEObject Type="Embed" ProgID="Equation.3" ShapeID="_x0000_i1045" DrawAspect="Content" ObjectID="_1572439443" r:id="rId53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3987" w14:textId="005FDDD0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580" w:dyaOrig="1440" w14:anchorId="154256CA">
                <v:shape id="_x0000_i1046" type="#_x0000_t75" style="width:29.55pt;height:1in" o:ole="">
                  <v:imagedata r:id="rId54" o:title=""/>
                </v:shape>
                <o:OLEObject Type="Embed" ProgID="Equation.3" ShapeID="_x0000_i1046" DrawAspect="Content" ObjectID="_1572439444" r:id="rId55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DF88" w14:textId="024C46F9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20" w:dyaOrig="1440" w14:anchorId="2D084F10">
                <v:shape id="_x0000_i1047" type="#_x0000_t75" style="width:36.35pt;height:1in" o:ole="">
                  <v:imagedata r:id="rId56" o:title=""/>
                </v:shape>
                <o:OLEObject Type="Embed" ProgID="Equation.3" ShapeID="_x0000_i1047" DrawAspect="Content" ObjectID="_1572439445" r:id="rId57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6F65" w14:textId="2A4A166C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600" w:dyaOrig="1440" w14:anchorId="32CDDDD3">
                <v:shape id="_x0000_i1048" type="#_x0000_t75" style="width:30.5pt;height:1in" o:ole="">
                  <v:imagedata r:id="rId58" o:title=""/>
                </v:shape>
                <o:OLEObject Type="Embed" ProgID="Equation.3" ShapeID="_x0000_i1048" DrawAspect="Content" ObjectID="_1572439446" r:id="rId59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73CC" w14:textId="0E05F904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780" w:dyaOrig="1440" w14:anchorId="1EC3A64B">
                <v:shape id="_x0000_i1049" type="#_x0000_t75" style="width:38.7pt;height:1in" o:ole="">
                  <v:imagedata r:id="rId60" o:title=""/>
                </v:shape>
                <o:OLEObject Type="Embed" ProgID="Equation.3" ShapeID="_x0000_i1049" DrawAspect="Content" ObjectID="_1572439447" r:id="rId61"/>
              </w:object>
            </w:r>
          </w:p>
        </w:tc>
      </w:tr>
      <w:tr w:rsidR="00D600FD" w:rsidRPr="00193F28" w14:paraId="6D66438D" w14:textId="77777777" w:rsidTr="00D600F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8A3" w14:textId="77777777" w:rsidR="00D600FD" w:rsidRDefault="00D600FD" w:rsidP="002266EB">
            <w:pPr>
              <w:pStyle w:val="TAC"/>
              <w:rPr>
                <w:rFonts w:ascii="Times New Roman" w:hAnsi="Times New Roman"/>
                <w:b/>
                <w:color w:val="00B050"/>
                <w:sz w:val="16"/>
              </w:rPr>
            </w:pPr>
            <w:r w:rsidRPr="00D600FD">
              <w:rPr>
                <w:rFonts w:ascii="Times New Roman" w:hAnsi="Times New Roman"/>
                <w:b/>
                <w:color w:val="00B050"/>
                <w:sz w:val="16"/>
              </w:rPr>
              <w:t>Full Coherent</w:t>
            </w:r>
          </w:p>
          <w:p w14:paraId="4F2C65DB" w14:textId="77777777" w:rsidR="00D600FD" w:rsidRDefault="00D600FD" w:rsidP="002266EB">
            <w:pPr>
              <w:pStyle w:val="TAC"/>
              <w:rPr>
                <w:rFonts w:ascii="Times New Roman" w:hAnsi="Times New Roman"/>
                <w:b/>
                <w:color w:val="0070C0"/>
                <w:sz w:val="16"/>
              </w:rPr>
            </w:pPr>
            <w:r w:rsidRPr="00D600FD">
              <w:rPr>
                <w:rFonts w:ascii="Times New Roman" w:hAnsi="Times New Roman"/>
                <w:b/>
                <w:color w:val="0070C0"/>
                <w:sz w:val="16"/>
              </w:rPr>
              <w:t>Partial Coherent</w:t>
            </w:r>
          </w:p>
          <w:p w14:paraId="39F2FC28" w14:textId="6DA309DA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D600FD">
              <w:rPr>
                <w:rFonts w:ascii="Times New Roman" w:hAnsi="Times New Roman"/>
                <w:b/>
                <w:color w:val="C00000"/>
                <w:sz w:val="16"/>
              </w:rPr>
              <w:t>Non-Coherent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799C" w14:textId="51A8207B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24-27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1548" w14:textId="24B92CE6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580" w:dyaOrig="1440" w14:anchorId="23A9B13F">
                <v:shape id="_x0000_i1050" type="#_x0000_t75" style="width:29.55pt;height:1in" o:ole="">
                  <v:imagedata r:id="rId62" o:title=""/>
                </v:shape>
                <o:OLEObject Type="Embed" ProgID="Equation.3" ShapeID="_x0000_i1050" DrawAspect="Content" ObjectID="_1572439448" r:id="rId63"/>
              </w:objec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7386" w14:textId="63C0CFB0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580" w:dyaOrig="1440" w14:anchorId="5C5A8775">
                <v:shape id="_x0000_i1051" type="#_x0000_t75" style="width:29.55pt;height:1in" o:ole="">
                  <v:imagedata r:id="rId64" o:title=""/>
                </v:shape>
                <o:OLEObject Type="Embed" ProgID="Equation.3" ShapeID="_x0000_i1051" DrawAspect="Content" ObjectID="_1572439449" r:id="rId65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CBFF" w14:textId="44299875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580" w:dyaOrig="1440" w14:anchorId="3385D647">
                <v:shape id="_x0000_i1052" type="#_x0000_t75" style="width:29.55pt;height:1in" o:ole="">
                  <v:imagedata r:id="rId66" o:title=""/>
                </v:shape>
                <o:OLEObject Type="Embed" ProgID="Equation.3" ShapeID="_x0000_i1052" DrawAspect="Content" ObjectID="_1572439450" r:id="rId67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DA43" w14:textId="47A50DD8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8232BF">
              <w:rPr>
                <w:rFonts w:ascii="Times New Roman" w:hAnsi="Times New Roman"/>
                <w:position w:val="-66"/>
                <w:sz w:val="16"/>
              </w:rPr>
              <w:object w:dxaOrig="580" w:dyaOrig="1440" w14:anchorId="64D8FB68">
                <v:shape id="_x0000_i1053" type="#_x0000_t75" style="width:29.55pt;height:1in" o:ole="">
                  <v:imagedata r:id="rId68" o:title=""/>
                </v:shape>
                <o:OLEObject Type="Embed" ProgID="Equation.3" ShapeID="_x0000_i1053" DrawAspect="Content" ObjectID="_1572439451" r:id="rId69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3A5F" w14:textId="77777777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15EB" w14:textId="77777777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62E" w14:textId="7B5A854F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EC6F" w14:textId="06539943" w:rsidR="00D600FD" w:rsidRPr="00317459" w:rsidRDefault="00D600FD" w:rsidP="002266EB">
            <w:pPr>
              <w:pStyle w:val="TAC"/>
              <w:rPr>
                <w:rFonts w:ascii="Times New Roman" w:hAnsi="Times New Roman"/>
                <w:sz w:val="16"/>
              </w:rPr>
            </w:pPr>
            <w:r w:rsidRPr="00317459">
              <w:rPr>
                <w:rFonts w:ascii="Times New Roman" w:hAnsi="Times New Roman"/>
                <w:sz w:val="16"/>
              </w:rPr>
              <w:t>-</w:t>
            </w:r>
          </w:p>
        </w:tc>
      </w:tr>
    </w:tbl>
    <w:p w14:paraId="5F33952C" w14:textId="658F73E0" w:rsidR="00430690" w:rsidRPr="00D41436" w:rsidRDefault="00430690" w:rsidP="00430690">
      <w:pPr>
        <w:jc w:val="both"/>
        <w:rPr>
          <w:rFonts w:ascii="Times" w:hAnsi="Times" w:cs="Times"/>
          <w:b/>
          <w:i/>
        </w:rPr>
      </w:pPr>
    </w:p>
    <w:p w14:paraId="4618D039" w14:textId="5BD24FBB" w:rsidR="00AB2A36" w:rsidRPr="00F85FA3" w:rsidRDefault="00F85FA3" w:rsidP="00AB2A36">
      <w:pPr>
        <w:jc w:val="both"/>
        <w:rPr>
          <w:rFonts w:ascii="Times" w:hAnsi="Times" w:cs="Times"/>
        </w:rPr>
      </w:pPr>
      <w:r w:rsidRPr="00F85FA3">
        <w:rPr>
          <w:rFonts w:ascii="Times" w:hAnsi="Times" w:cs="Times"/>
        </w:rPr>
        <w:t xml:space="preserve">In </w:t>
      </w:r>
      <w:r w:rsidR="005A1519">
        <w:rPr>
          <w:rFonts w:ascii="Times" w:hAnsi="Times" w:cs="Times"/>
        </w:rPr>
        <w:t>certain</w:t>
      </w:r>
      <w:r>
        <w:rPr>
          <w:rFonts w:ascii="Times" w:hAnsi="Times" w:cs="Times"/>
        </w:rPr>
        <w:t xml:space="preserve"> use scenarios, it may be beneficial to define the CBSR using</w:t>
      </w:r>
      <w:r w:rsidRPr="00F85FA3">
        <w:rPr>
          <w:rFonts w:ascii="Times" w:hAnsi="Times" w:cs="Times"/>
        </w:rPr>
        <w:t xml:space="preserve"> a bitmap </w:t>
      </w:r>
      <w:r>
        <w:rPr>
          <w:rFonts w:ascii="Times" w:hAnsi="Times" w:cs="Times"/>
        </w:rPr>
        <w:t xml:space="preserve">that </w:t>
      </w:r>
      <w:r w:rsidR="007125AE">
        <w:rPr>
          <w:rFonts w:ascii="Times" w:hAnsi="Times" w:cs="Times"/>
        </w:rPr>
        <w:t>is provided</w:t>
      </w:r>
      <w:r w:rsidRPr="00F85FA3">
        <w:rPr>
          <w:rFonts w:ascii="Times" w:hAnsi="Times" w:cs="Times"/>
        </w:rPr>
        <w:t xml:space="preserve"> through RRC signaling</w:t>
      </w:r>
      <w:r>
        <w:rPr>
          <w:rFonts w:ascii="Times" w:hAnsi="Times" w:cs="Times"/>
        </w:rPr>
        <w:t xml:space="preserve">. However, instead of using a full length bitmap that matches the size of the codebook, a smaller bit map according to UE coherence capability </w:t>
      </w:r>
      <w:r w:rsidR="007125AE">
        <w:rPr>
          <w:rFonts w:ascii="Times" w:hAnsi="Times" w:cs="Times"/>
        </w:rPr>
        <w:t xml:space="preserve">should be </w:t>
      </w:r>
      <w:r>
        <w:rPr>
          <w:rFonts w:ascii="Times" w:hAnsi="Times" w:cs="Times"/>
        </w:rPr>
        <w:t>employed</w:t>
      </w:r>
      <w:r w:rsidR="007125AE">
        <w:rPr>
          <w:rFonts w:ascii="Times" w:hAnsi="Times" w:cs="Times"/>
        </w:rPr>
        <w:t>.</w:t>
      </w:r>
      <w:r w:rsidR="00AB2A36">
        <w:rPr>
          <w:rFonts w:ascii="Times" w:hAnsi="Times" w:cs="Times"/>
        </w:rPr>
        <w:t xml:space="preserve"> </w:t>
      </w:r>
    </w:p>
    <w:p w14:paraId="7CD58356" w14:textId="4A6F8990" w:rsidR="007125AE" w:rsidRDefault="007125AE" w:rsidP="007125AE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>
        <w:rPr>
          <w:rFonts w:ascii="Times" w:hAnsi="Times" w:cs="Times"/>
          <w:b/>
          <w:i/>
        </w:rPr>
        <w:t>By relying on coherence capability information, employ a reduced length RRC configured bitmap to define the CBSR.</w:t>
      </w:r>
    </w:p>
    <w:p w14:paraId="1B486884" w14:textId="77777777" w:rsidR="00F85FA3" w:rsidRDefault="00F85FA3" w:rsidP="004F41F3">
      <w:pPr>
        <w:jc w:val="both"/>
        <w:rPr>
          <w:rFonts w:ascii="Times" w:hAnsi="Times" w:cs="Times"/>
        </w:rPr>
      </w:pPr>
    </w:p>
    <w:p w14:paraId="570E10A7" w14:textId="4C4BBDFF" w:rsidR="00180B6F" w:rsidRPr="00DE1E23" w:rsidRDefault="00C34707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TPMI Indication</w:t>
      </w:r>
    </w:p>
    <w:p w14:paraId="11F206CA" w14:textId="25785AF3" w:rsidR="00D45AA3" w:rsidRDefault="00C16A44" w:rsidP="00D45AA3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" w:hAnsi="Times" w:cs="Times"/>
        </w:rPr>
      </w:pPr>
      <w:r>
        <w:rPr>
          <w:rFonts w:ascii="Times" w:hAnsi="Times" w:cs="Times"/>
        </w:rPr>
        <w:t xml:space="preserve">It has been </w:t>
      </w:r>
      <w:r w:rsidR="00D45AA3">
        <w:rPr>
          <w:rFonts w:ascii="Times" w:hAnsi="Times" w:cs="Times"/>
        </w:rPr>
        <w:t xml:space="preserve">agreed </w:t>
      </w:r>
      <w:r w:rsidR="00E67FB1">
        <w:rPr>
          <w:rFonts w:ascii="Times" w:hAnsi="Times" w:cs="Times"/>
        </w:rPr>
        <w:t xml:space="preserve">[2] </w:t>
      </w:r>
      <w:r w:rsidR="00D45AA3">
        <w:rPr>
          <w:rFonts w:ascii="Times" w:hAnsi="Times" w:cs="Times"/>
        </w:rPr>
        <w:t>that f</w:t>
      </w:r>
      <w:r w:rsidR="00D45AA3" w:rsidRPr="00D45AA3">
        <w:rPr>
          <w:rFonts w:ascii="Times" w:hAnsi="Times" w:cs="Times"/>
        </w:rPr>
        <w:t>or codebook based transmission for CP-OFDM based UL, when a UE is configured with UL frequency selective precoding and if subband TPMI signaling is supported, one of the alternatives</w:t>
      </w:r>
      <w:r w:rsidR="00D45AA3">
        <w:rPr>
          <w:rFonts w:ascii="Times" w:hAnsi="Times" w:cs="Times"/>
        </w:rPr>
        <w:t xml:space="preserve"> of</w:t>
      </w:r>
      <w:r w:rsidR="00342210">
        <w:rPr>
          <w:rFonts w:ascii="Times" w:hAnsi="Times" w:cs="Times"/>
        </w:rPr>
        <w:t>:</w:t>
      </w:r>
      <w:r w:rsidR="00D45AA3">
        <w:rPr>
          <w:rFonts w:ascii="Times" w:hAnsi="Times" w:cs="Times"/>
        </w:rPr>
        <w:t xml:space="preserve"> DCI signaling of TPMI only for allocated PRB</w:t>
      </w:r>
      <w:r w:rsidR="00342210">
        <w:rPr>
          <w:rFonts w:ascii="Times" w:hAnsi="Times" w:cs="Times"/>
        </w:rPr>
        <w:t>,</w:t>
      </w:r>
      <w:r w:rsidR="00D45AA3">
        <w:rPr>
          <w:rFonts w:ascii="Times" w:hAnsi="Times" w:cs="Times"/>
        </w:rPr>
        <w:t xml:space="preserve"> or </w:t>
      </w:r>
      <w:r w:rsidR="00342210">
        <w:rPr>
          <w:rFonts w:ascii="Times" w:hAnsi="Times" w:cs="Times"/>
        </w:rPr>
        <w:t>DCI signaling of TPMI for all PRBs should be supported. As</w:t>
      </w:r>
      <w:r w:rsidR="00D45AA3" w:rsidRPr="00D45AA3">
        <w:rPr>
          <w:rFonts w:ascii="Times" w:hAnsi="Times" w:cs="Times"/>
        </w:rPr>
        <w:t xml:space="preserve"> </w:t>
      </w:r>
      <w:r w:rsidR="00342210">
        <w:rPr>
          <w:rFonts w:ascii="Times" w:hAnsi="Times" w:cs="Times"/>
        </w:rPr>
        <w:t xml:space="preserve">it has been </w:t>
      </w:r>
      <w:r>
        <w:rPr>
          <w:rFonts w:ascii="Times" w:hAnsi="Times" w:cs="Times"/>
        </w:rPr>
        <w:t>discussed in the past meetings [</w:t>
      </w:r>
      <w:r w:rsidR="00D45AA3">
        <w:rPr>
          <w:rFonts w:ascii="Times" w:hAnsi="Times" w:cs="Times"/>
        </w:rPr>
        <w:t>2</w:t>
      </w:r>
      <w:r>
        <w:rPr>
          <w:rFonts w:ascii="Times" w:hAnsi="Times" w:cs="Times"/>
        </w:rPr>
        <w:t>]</w:t>
      </w:r>
      <w:r w:rsidR="00342210">
        <w:rPr>
          <w:rFonts w:ascii="Times" w:hAnsi="Times" w:cs="Times"/>
        </w:rPr>
        <w:t>,</w:t>
      </w:r>
      <w:r>
        <w:rPr>
          <w:rFonts w:ascii="Times" w:hAnsi="Times" w:cs="Times"/>
        </w:rPr>
        <w:t xml:space="preserve"> t</w:t>
      </w:r>
      <w:r w:rsidR="007125AE">
        <w:rPr>
          <w:rFonts w:ascii="Times" w:hAnsi="Times" w:cs="Times"/>
        </w:rPr>
        <w:t xml:space="preserve">o </w:t>
      </w:r>
      <w:r w:rsidR="00342210">
        <w:rPr>
          <w:rFonts w:ascii="Times" w:hAnsi="Times" w:cs="Times"/>
        </w:rPr>
        <w:t xml:space="preserve">reduce complexity, and </w:t>
      </w:r>
      <w:r w:rsidR="007125AE">
        <w:rPr>
          <w:rFonts w:ascii="Times" w:hAnsi="Times" w:cs="Times"/>
        </w:rPr>
        <w:t>simplify DCI decoding</w:t>
      </w:r>
      <w:r>
        <w:rPr>
          <w:rFonts w:ascii="Times" w:hAnsi="Times" w:cs="Times"/>
        </w:rPr>
        <w:t xml:space="preserve"> </w:t>
      </w:r>
      <w:r w:rsidRPr="007125AE">
        <w:rPr>
          <w:rFonts w:ascii="Times" w:hAnsi="Times" w:cs="Times"/>
        </w:rPr>
        <w:t>in an uplink grant</w:t>
      </w:r>
      <w:r>
        <w:rPr>
          <w:rFonts w:ascii="Times" w:hAnsi="Times" w:cs="Times"/>
        </w:rPr>
        <w:t xml:space="preserve">, a fixed number of TPMIs should be employed </w:t>
      </w:r>
      <w:r w:rsidRPr="007125AE">
        <w:rPr>
          <w:rFonts w:ascii="Times" w:hAnsi="Times" w:cs="Times"/>
        </w:rPr>
        <w:t>irrespective of the number of scheduled RBs for transmission</w:t>
      </w:r>
      <w:r>
        <w:rPr>
          <w:rFonts w:ascii="Times" w:hAnsi="Times" w:cs="Times"/>
        </w:rPr>
        <w:t>.</w:t>
      </w:r>
      <w:r w:rsidR="007125AE">
        <w:rPr>
          <w:rFonts w:ascii="Times" w:hAnsi="Times" w:cs="Times"/>
        </w:rPr>
        <w:t xml:space="preserve"> </w:t>
      </w:r>
      <w:r w:rsidR="00342210">
        <w:rPr>
          <w:rFonts w:ascii="Times" w:hAnsi="Times" w:cs="Times"/>
        </w:rPr>
        <w:t xml:space="preserve">Therefore, </w:t>
      </w:r>
      <w:bookmarkStart w:id="4" w:name="_Hlk498520455"/>
      <w:r w:rsidR="00342210">
        <w:rPr>
          <w:rFonts w:ascii="Times" w:hAnsi="Times" w:cs="Times"/>
        </w:rPr>
        <w:t xml:space="preserve">for a given size of the </w:t>
      </w:r>
      <w:r w:rsidR="00342210" w:rsidRPr="007125AE">
        <w:rPr>
          <w:rFonts w:ascii="Times" w:hAnsi="Times" w:cs="Times"/>
        </w:rPr>
        <w:t xml:space="preserve">bandwidth part, a UE </w:t>
      </w:r>
      <w:r w:rsidR="00342210">
        <w:rPr>
          <w:rFonts w:ascii="Times" w:hAnsi="Times" w:cs="Times"/>
        </w:rPr>
        <w:t>should</w:t>
      </w:r>
      <w:r w:rsidR="00342210" w:rsidRPr="007125AE">
        <w:rPr>
          <w:rFonts w:ascii="Times" w:hAnsi="Times" w:cs="Times"/>
        </w:rPr>
        <w:t xml:space="preserve"> be configured to have a fixed number of TPMIs (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TPMI</m:t>
            </m:r>
          </m:sub>
        </m:sSub>
      </m:oMath>
      <w:r w:rsidR="00342210" w:rsidRPr="007125AE">
        <w:rPr>
          <w:rFonts w:ascii="Times" w:hAnsi="Times" w:cs="Times"/>
        </w:rPr>
        <w:t>)</w:t>
      </w:r>
      <w:bookmarkEnd w:id="4"/>
      <w:r w:rsidR="00342210">
        <w:rPr>
          <w:rFonts w:ascii="Times" w:hAnsi="Times" w:cs="Times"/>
        </w:rPr>
        <w:t>.</w:t>
      </w:r>
    </w:p>
    <w:p w14:paraId="26375034" w14:textId="77777777" w:rsidR="00342210" w:rsidRDefault="00342210" w:rsidP="00D45AA3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" w:hAnsi="Times" w:cs="Times"/>
        </w:rPr>
      </w:pPr>
    </w:p>
    <w:p w14:paraId="3F47DE13" w14:textId="77777777" w:rsidR="00342210" w:rsidRPr="00D45AA3" w:rsidRDefault="00342210" w:rsidP="0034221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MS Mincho" w:hAnsi="Times New Roman" w:cs="Times New Roman"/>
          <w:b/>
          <w:i/>
          <w:iCs/>
        </w:rPr>
      </w:pPr>
      <w:r w:rsidRPr="00D45AA3">
        <w:rPr>
          <w:rFonts w:ascii="Times New Roman" w:hAnsi="Times New Roman" w:cs="Times New Roman"/>
          <w:b/>
          <w:i/>
        </w:rPr>
        <w:t xml:space="preserve">Proposal 3 – </w:t>
      </w:r>
      <w:r w:rsidRPr="00D45AA3">
        <w:rPr>
          <w:rFonts w:ascii="Times New Roman" w:eastAsia="MS Mincho" w:hAnsi="Times New Roman" w:cs="Times New Roman"/>
          <w:b/>
          <w:i/>
          <w:iCs/>
        </w:rPr>
        <w:t>Subband TPMIs are signaled via DCI to the UE for all PRBs in UL, regardless of the actual RA for a given PUSCH transmission</w:t>
      </w:r>
    </w:p>
    <w:p w14:paraId="7DB4552B" w14:textId="77777777" w:rsidR="00342210" w:rsidRDefault="00342210" w:rsidP="0034221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i/>
        </w:rPr>
      </w:pPr>
    </w:p>
    <w:p w14:paraId="49F853ED" w14:textId="15A97F66" w:rsidR="00342210" w:rsidRPr="00D45AA3" w:rsidRDefault="00342210" w:rsidP="0034221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MS Mincho" w:hAnsi="Times New Roman" w:cs="Times New Roman"/>
          <w:b/>
          <w:i/>
          <w:iCs/>
        </w:rPr>
      </w:pPr>
      <w:r w:rsidRPr="00D45AA3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4</w:t>
      </w:r>
      <w:r w:rsidRPr="00D45AA3">
        <w:rPr>
          <w:rFonts w:ascii="Times New Roman" w:hAnsi="Times New Roman" w:cs="Times New Roman"/>
          <w:b/>
          <w:i/>
        </w:rPr>
        <w:t xml:space="preserve"> – </w:t>
      </w:r>
      <w:r>
        <w:rPr>
          <w:rFonts w:ascii="Times New Roman" w:hAnsi="Times New Roman" w:cs="Times New Roman"/>
          <w:b/>
          <w:i/>
        </w:rPr>
        <w:t>F</w:t>
      </w:r>
      <w:r w:rsidRPr="00342210">
        <w:rPr>
          <w:rFonts w:ascii="Times New Roman" w:eastAsia="MS Mincho" w:hAnsi="Times New Roman" w:cs="Times New Roman"/>
          <w:b/>
          <w:i/>
          <w:iCs/>
        </w:rPr>
        <w:t>or a given size of the bandwidth part, a UE should be configured to have a fixed number of TPMIs (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S Mincho" w:hAnsi="Cambria Math" w:cs="Times New Roman"/>
              </w:rPr>
              <m:t>TPMI</m:t>
            </m:r>
          </m:sub>
        </m:sSub>
      </m:oMath>
      <w:r w:rsidRPr="00342210">
        <w:rPr>
          <w:rFonts w:ascii="Times New Roman" w:eastAsia="MS Mincho" w:hAnsi="Times New Roman" w:cs="Times New Roman"/>
          <w:b/>
          <w:i/>
          <w:iCs/>
        </w:rPr>
        <w:t>)</w:t>
      </w:r>
      <w:r>
        <w:rPr>
          <w:rFonts w:ascii="Times New Roman" w:eastAsia="MS Mincho" w:hAnsi="Times New Roman" w:cs="Times New Roman"/>
          <w:b/>
          <w:i/>
          <w:iCs/>
        </w:rPr>
        <w:t>.</w:t>
      </w:r>
    </w:p>
    <w:p w14:paraId="1DCBCC88" w14:textId="77777777" w:rsidR="00D45AA3" w:rsidRDefault="00D45AA3" w:rsidP="00D45AA3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" w:hAnsi="Times" w:cs="Times"/>
        </w:rPr>
      </w:pPr>
    </w:p>
    <w:p w14:paraId="3BB128D6" w14:textId="470BB8E1" w:rsidR="007125AE" w:rsidRDefault="00C16A44" w:rsidP="00342210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" w:hAnsi="Times" w:cs="Times"/>
        </w:rPr>
      </w:pPr>
      <w:r>
        <w:rPr>
          <w:rFonts w:ascii="Times" w:hAnsi="Times" w:cs="Times"/>
        </w:rPr>
        <w:t>I</w:t>
      </w:r>
      <w:r w:rsidR="007125AE" w:rsidRPr="007125AE">
        <w:rPr>
          <w:rFonts w:ascii="Times" w:hAnsi="Times" w:cs="Times"/>
        </w:rPr>
        <w:t xml:space="preserve">f the number of configured TPMIs is greater or equal the number of configured subbands </w:t>
      </w:r>
      <w:r>
        <w:rPr>
          <w:rFonts w:ascii="Times" w:hAnsi="Times" w:cs="Times"/>
        </w:rPr>
        <w:t>(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Subband</m:t>
            </m:r>
          </m:sub>
        </m:sSub>
      </m:oMath>
      <w:r>
        <w:rPr>
          <w:rFonts w:ascii="Times" w:hAnsi="Times" w:cs="Times"/>
        </w:rPr>
        <w:t xml:space="preserve">) </w:t>
      </w:r>
      <w:r w:rsidR="007125AE" w:rsidRPr="007125AE">
        <w:rPr>
          <w:rFonts w:ascii="Times" w:hAnsi="Times" w:cs="Times"/>
        </w:rPr>
        <w:t xml:space="preserve">for frequency selective precoding, i.e.,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TPMI</m:t>
            </m:r>
          </m:sub>
        </m:sSub>
        <m:r>
          <m:rPr>
            <m:sty m:val="p"/>
          </m:rPr>
          <w:rPr>
            <w:rFonts w:ascii="Cambria Math" w:hAnsi="Cambria Math" w:cs="Times"/>
          </w:rPr>
          <m:t>≥</m:t>
        </m:r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Subband</m:t>
            </m:r>
          </m:sub>
        </m:sSub>
      </m:oMath>
      <w:r w:rsidR="007125AE" w:rsidRPr="007125AE">
        <w:rPr>
          <w:rFonts w:ascii="Times" w:hAnsi="Times" w:cs="Times"/>
        </w:rPr>
        <w:t>, one unique TPMI per subband may be assigned</w:t>
      </w:r>
      <w:r>
        <w:rPr>
          <w:rFonts w:ascii="Times" w:hAnsi="Times" w:cs="Times"/>
        </w:rPr>
        <w:t xml:space="preserve">, as shown in </w:t>
      </w:r>
      <w:r w:rsidR="00895883">
        <w:rPr>
          <w:rFonts w:ascii="Times" w:hAnsi="Times" w:cs="Times"/>
        </w:rPr>
        <w:t>Figure 1.</w:t>
      </w:r>
      <w:r w:rsidR="007125AE" w:rsidRPr="007125AE">
        <w:rPr>
          <w:rFonts w:ascii="Times" w:hAnsi="Times" w:cs="Times"/>
        </w:rPr>
        <w:t xml:space="preserve"> </w:t>
      </w:r>
    </w:p>
    <w:p w14:paraId="7C802C88" w14:textId="77777777" w:rsidR="00342210" w:rsidRDefault="00342210" w:rsidP="00342210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" w:hAnsi="Times" w:cs="Times"/>
        </w:rPr>
      </w:pPr>
    </w:p>
    <w:p w14:paraId="039A9E8D" w14:textId="77777777" w:rsidR="00D45AA3" w:rsidRDefault="00D45AA3" w:rsidP="007125AE">
      <w:pPr>
        <w:jc w:val="both"/>
        <w:rPr>
          <w:rFonts w:ascii="Times" w:hAnsi="Times" w:cs="Times"/>
        </w:rPr>
      </w:pPr>
    </w:p>
    <w:p w14:paraId="6149CC47" w14:textId="2724F187" w:rsidR="00895883" w:rsidRDefault="00F1025E" w:rsidP="00895883">
      <w:pPr>
        <w:spacing w:after="120" w:line="360" w:lineRule="auto"/>
        <w:jc w:val="center"/>
      </w:pPr>
      <w:r>
        <w:object w:dxaOrig="10005" w:dyaOrig="2655" w14:anchorId="34454A8D">
          <v:shape id="_x0000_i1054" type="#_x0000_t75" style="width:327.15pt;height:86.05pt" o:ole="">
            <v:imagedata r:id="rId70" o:title=""/>
          </v:shape>
          <o:OLEObject Type="Embed" ProgID="Visio.Drawing.15" ShapeID="_x0000_i1054" DrawAspect="Content" ObjectID="_1572439452" r:id="rId71"/>
        </w:object>
      </w:r>
    </w:p>
    <w:p w14:paraId="672E9D74" w14:textId="45AF0545" w:rsidR="00895883" w:rsidRPr="00895883" w:rsidRDefault="00895883" w:rsidP="00895883">
      <w:pPr>
        <w:pStyle w:val="Caption"/>
        <w:rPr>
          <w:rFonts w:ascii="Times New Roman" w:hAnsi="Times New Roman" w:cs="Times New Roman"/>
          <w:b w:val="0"/>
          <w:bCs w:val="0"/>
          <w:iCs/>
          <w:szCs w:val="24"/>
        </w:rPr>
      </w:pPr>
      <w:r w:rsidRPr="00895883">
        <w:rPr>
          <w:rFonts w:ascii="Times New Roman" w:hAnsi="Times New Roman" w:cs="Times New Roman"/>
          <w:sz w:val="18"/>
          <w:szCs w:val="24"/>
        </w:rPr>
        <w:t xml:space="preserve">Figure </w:t>
      </w:r>
      <w:r w:rsidRPr="00895883">
        <w:rPr>
          <w:rFonts w:ascii="Times New Roman" w:hAnsi="Times New Roman" w:cs="Times New Roman"/>
          <w:sz w:val="18"/>
          <w:szCs w:val="24"/>
        </w:rPr>
        <w:fldChar w:fldCharType="begin"/>
      </w:r>
      <w:r w:rsidRPr="00895883">
        <w:rPr>
          <w:rFonts w:ascii="Times New Roman" w:hAnsi="Times New Roman" w:cs="Times New Roman"/>
          <w:sz w:val="18"/>
          <w:szCs w:val="24"/>
        </w:rPr>
        <w:instrText xml:space="preserve"> SEQ Figure \* ARABIC \s 1 </w:instrText>
      </w:r>
      <w:r w:rsidRPr="00895883">
        <w:rPr>
          <w:rFonts w:ascii="Times New Roman" w:hAnsi="Times New Roman" w:cs="Times New Roman"/>
          <w:sz w:val="18"/>
          <w:szCs w:val="24"/>
        </w:rPr>
        <w:fldChar w:fldCharType="separate"/>
      </w:r>
      <w:r w:rsidR="00D45AA3">
        <w:rPr>
          <w:rFonts w:ascii="Times New Roman" w:hAnsi="Times New Roman" w:cs="Times New Roman"/>
          <w:noProof/>
          <w:sz w:val="18"/>
          <w:szCs w:val="24"/>
        </w:rPr>
        <w:t>1</w:t>
      </w:r>
      <w:r w:rsidRPr="00895883">
        <w:rPr>
          <w:rFonts w:ascii="Times New Roman" w:hAnsi="Times New Roman" w:cs="Times New Roman"/>
          <w:noProof/>
          <w:sz w:val="18"/>
          <w:szCs w:val="24"/>
        </w:rPr>
        <w:fldChar w:fldCharType="end"/>
      </w:r>
      <w:r w:rsidRPr="00895883">
        <w:rPr>
          <w:rFonts w:ascii="Times New Roman" w:hAnsi="Times New Roman" w:cs="Times New Roman"/>
          <w:sz w:val="18"/>
          <w:szCs w:val="24"/>
        </w:rPr>
        <w:t xml:space="preserve"> Frequency selective precoding with sub-band precoders</w:t>
      </w:r>
    </w:p>
    <w:p w14:paraId="43F7F6DA" w14:textId="5C1CB339" w:rsidR="00895883" w:rsidRDefault="00895883" w:rsidP="00D45AA3">
      <w:pPr>
        <w:jc w:val="both"/>
        <w:rPr>
          <w:rFonts w:ascii="Times" w:hAnsi="Times" w:cs="Times"/>
        </w:rPr>
      </w:pPr>
      <w:r w:rsidRPr="00895883">
        <w:rPr>
          <w:rFonts w:ascii="Times" w:hAnsi="Times" w:cs="Times"/>
        </w:rPr>
        <w:t xml:space="preserve">In </w:t>
      </w:r>
      <w:r>
        <w:rPr>
          <w:rFonts w:ascii="Times" w:hAnsi="Times" w:cs="Times"/>
        </w:rPr>
        <w:t>case</w:t>
      </w:r>
      <w:r w:rsidRPr="00895883">
        <w:rPr>
          <w:rFonts w:ascii="Times" w:hAnsi="Times" w:cs="Times"/>
        </w:rPr>
        <w:t xml:space="preserve"> the number of configured TPMIs is less than the number of configured subbands for frequency selective precoding, i.e.,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TPMI</m:t>
            </m:r>
          </m:sub>
        </m:sSub>
        <m:r>
          <m:rPr>
            <m:sty m:val="p"/>
          </m:rPr>
          <w:rPr>
            <w:rFonts w:ascii="Cambria Math" w:hAnsi="Cambria Math" w:cs="Times"/>
          </w:rPr>
          <m:t>&lt;</m:t>
        </m:r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Subband</m:t>
            </m:r>
          </m:sub>
        </m:sSub>
      </m:oMath>
      <w:r w:rsidRPr="00895883">
        <w:rPr>
          <w:rFonts w:ascii="Times" w:hAnsi="Times" w:cs="Times"/>
        </w:rPr>
        <w:t xml:space="preserve">, some TPMIs </w:t>
      </w:r>
      <w:r>
        <w:rPr>
          <w:rFonts w:ascii="Times" w:hAnsi="Times" w:cs="Times"/>
        </w:rPr>
        <w:t>should</w:t>
      </w:r>
      <w:r w:rsidRPr="00895883">
        <w:rPr>
          <w:rFonts w:ascii="Times" w:hAnsi="Times" w:cs="Times"/>
        </w:rPr>
        <w:t xml:space="preserve"> be </w:t>
      </w:r>
      <w:r w:rsidR="00342210">
        <w:rPr>
          <w:rFonts w:ascii="Times" w:hAnsi="Times" w:cs="Times"/>
        </w:rPr>
        <w:t xml:space="preserve">used for </w:t>
      </w:r>
      <w:r w:rsidR="005A1519">
        <w:rPr>
          <w:rFonts w:ascii="Times" w:hAnsi="Times" w:cs="Times"/>
        </w:rPr>
        <w:t>precoding</w:t>
      </w:r>
      <w:r w:rsidR="00342210">
        <w:rPr>
          <w:rFonts w:ascii="Times" w:hAnsi="Times" w:cs="Times"/>
        </w:rPr>
        <w:t xml:space="preserve"> of</w:t>
      </w:r>
      <w:r w:rsidRPr="00895883">
        <w:rPr>
          <w:rFonts w:ascii="Times" w:hAnsi="Times" w:cs="Times"/>
        </w:rPr>
        <w:t xml:space="preserve"> more than one subband. </w:t>
      </w:r>
      <w:r w:rsidR="00BA7F7F">
        <w:rPr>
          <w:rFonts w:ascii="Times" w:hAnsi="Times" w:cs="Times"/>
        </w:rPr>
        <w:t>For example</w:t>
      </w:r>
      <w:r w:rsidRPr="00895883">
        <w:rPr>
          <w:rFonts w:ascii="Times" w:hAnsi="Times" w:cs="Times"/>
        </w:rPr>
        <w:t xml:space="preserve">, TPMIs </w:t>
      </w:r>
      <w:r w:rsidR="00D45AA3">
        <w:rPr>
          <w:rFonts w:ascii="Times" w:hAnsi="Times" w:cs="Times"/>
        </w:rPr>
        <w:t>are</w:t>
      </w:r>
      <w:r w:rsidRPr="00895883">
        <w:rPr>
          <w:rFonts w:ascii="Times" w:hAnsi="Times" w:cs="Times"/>
        </w:rPr>
        <w:t xml:space="preserve"> indicted only for a specific set of subbands, that can be referred to as primary subbands. </w:t>
      </w:r>
      <w:r w:rsidR="00D45AA3">
        <w:rPr>
          <w:rFonts w:ascii="Times" w:hAnsi="Times" w:cs="Times"/>
        </w:rPr>
        <w:t>Then, the</w:t>
      </w:r>
      <w:r w:rsidRPr="00895883">
        <w:rPr>
          <w:rFonts w:ascii="Times" w:hAnsi="Times" w:cs="Times"/>
        </w:rPr>
        <w:t xml:space="preserve"> UE use</w:t>
      </w:r>
      <w:r w:rsidR="00D45AA3">
        <w:rPr>
          <w:rFonts w:ascii="Times" w:hAnsi="Times" w:cs="Times"/>
        </w:rPr>
        <w:t>s</w:t>
      </w:r>
      <w:r w:rsidRPr="00895883">
        <w:rPr>
          <w:rFonts w:ascii="Times" w:hAnsi="Times" w:cs="Times"/>
        </w:rPr>
        <w:t xml:space="preserve"> the received TPMIs intended for the primary subbands for precoding of one or more of its adjacent subbands</w:t>
      </w:r>
      <w:r w:rsidR="00D45AA3">
        <w:rPr>
          <w:rFonts w:ascii="Times" w:hAnsi="Times" w:cs="Times"/>
        </w:rPr>
        <w:t>.</w:t>
      </w:r>
      <w:r w:rsidRPr="00895883">
        <w:rPr>
          <w:rFonts w:ascii="Times" w:hAnsi="Times" w:cs="Times"/>
        </w:rPr>
        <w:t xml:space="preserve"> </w:t>
      </w:r>
      <w:r w:rsidRPr="00895883">
        <w:rPr>
          <w:rFonts w:ascii="Times" w:hAnsi="Times" w:cs="Times"/>
        </w:rPr>
        <w:fldChar w:fldCharType="begin"/>
      </w:r>
      <w:r w:rsidRPr="00895883">
        <w:rPr>
          <w:rFonts w:ascii="Times" w:hAnsi="Times" w:cs="Times"/>
        </w:rPr>
        <w:instrText xml:space="preserve"> REF _Ref497988224 \h </w:instrText>
      </w:r>
      <w:r>
        <w:rPr>
          <w:rFonts w:ascii="Times" w:hAnsi="Times" w:cs="Times"/>
        </w:rPr>
        <w:instrText xml:space="preserve"> \* MERGEFORMAT </w:instrText>
      </w:r>
      <w:r w:rsidRPr="00895883">
        <w:rPr>
          <w:rFonts w:ascii="Times" w:hAnsi="Times" w:cs="Times"/>
        </w:rPr>
      </w:r>
      <w:r w:rsidRPr="00895883">
        <w:rPr>
          <w:rFonts w:ascii="Times" w:hAnsi="Times" w:cs="Times"/>
        </w:rPr>
        <w:fldChar w:fldCharType="separate"/>
      </w:r>
      <w:r w:rsidR="00D45AA3" w:rsidRPr="00D45AA3">
        <w:rPr>
          <w:rFonts w:ascii="Times" w:hAnsi="Times" w:cs="Times"/>
        </w:rPr>
        <w:t>Figure 2</w:t>
      </w:r>
      <w:r w:rsidRPr="00895883">
        <w:rPr>
          <w:rFonts w:ascii="Times" w:hAnsi="Times" w:cs="Times"/>
        </w:rPr>
        <w:fldChar w:fldCharType="end"/>
      </w:r>
      <w:r w:rsidRPr="00895883">
        <w:rPr>
          <w:rFonts w:ascii="Times" w:hAnsi="Times" w:cs="Times"/>
        </w:rPr>
        <w:t xml:space="preserve"> shows an exemplary case of where the indicated TPMIs of primary subband</w:t>
      </w:r>
      <w:r w:rsidR="00D45AA3">
        <w:rPr>
          <w:rFonts w:ascii="Times" w:hAnsi="Times" w:cs="Times"/>
        </w:rPr>
        <w:t>s</w:t>
      </w:r>
      <w:r w:rsidRPr="00895883">
        <w:rPr>
          <w:rFonts w:ascii="Times" w:hAnsi="Times" w:cs="Times"/>
        </w:rPr>
        <w:t xml:space="preserve"> {1, 3, 5, 7} are also applied on their immediately next adjacent subbands {2, 4, 6, 8}. The designation of the primary subbands </w:t>
      </w:r>
      <w:r w:rsidR="00D45AA3">
        <w:rPr>
          <w:rFonts w:ascii="Times" w:hAnsi="Times" w:cs="Times"/>
        </w:rPr>
        <w:t xml:space="preserve">can also </w:t>
      </w:r>
      <w:r w:rsidRPr="00895883">
        <w:rPr>
          <w:rFonts w:ascii="Times" w:hAnsi="Times" w:cs="Times"/>
        </w:rPr>
        <w:t xml:space="preserve">be based on a </w:t>
      </w:r>
      <w:r w:rsidR="00D45AA3">
        <w:rPr>
          <w:rFonts w:ascii="Times" w:hAnsi="Times" w:cs="Times"/>
        </w:rPr>
        <w:t>non-uniform</w:t>
      </w:r>
      <w:r w:rsidRPr="00895883">
        <w:rPr>
          <w:rFonts w:ascii="Times" w:hAnsi="Times" w:cs="Times"/>
        </w:rPr>
        <w:t xml:space="preserve"> pattern as shown in </w:t>
      </w:r>
      <w:r w:rsidRPr="00895883">
        <w:rPr>
          <w:rFonts w:ascii="Times" w:hAnsi="Times" w:cs="Times"/>
        </w:rPr>
        <w:fldChar w:fldCharType="begin"/>
      </w:r>
      <w:r w:rsidRPr="00895883">
        <w:rPr>
          <w:rFonts w:ascii="Times" w:hAnsi="Times" w:cs="Times"/>
        </w:rPr>
        <w:instrText xml:space="preserve"> REF _Ref497988224 \h </w:instrText>
      </w:r>
      <w:r>
        <w:rPr>
          <w:rFonts w:ascii="Times" w:hAnsi="Times" w:cs="Times"/>
        </w:rPr>
        <w:instrText xml:space="preserve"> \* MERGEFORMAT </w:instrText>
      </w:r>
      <w:r w:rsidRPr="00895883">
        <w:rPr>
          <w:rFonts w:ascii="Times" w:hAnsi="Times" w:cs="Times"/>
        </w:rPr>
      </w:r>
      <w:r w:rsidRPr="00895883">
        <w:rPr>
          <w:rFonts w:ascii="Times" w:hAnsi="Times" w:cs="Times"/>
        </w:rPr>
        <w:fldChar w:fldCharType="separate"/>
      </w:r>
      <w:r w:rsidR="00D45AA3" w:rsidRPr="00D45AA3">
        <w:rPr>
          <w:rFonts w:ascii="Times" w:hAnsi="Times" w:cs="Times"/>
        </w:rPr>
        <w:t>Figure 2</w:t>
      </w:r>
      <w:r w:rsidRPr="00895883">
        <w:rPr>
          <w:rFonts w:ascii="Times" w:hAnsi="Times" w:cs="Times"/>
        </w:rPr>
        <w:fldChar w:fldCharType="end"/>
      </w:r>
      <w:r w:rsidR="00D45AA3">
        <w:rPr>
          <w:rFonts w:ascii="Times" w:hAnsi="Times" w:cs="Times"/>
        </w:rPr>
        <w:t>. In this case, t</w:t>
      </w:r>
      <w:r w:rsidRPr="00895883">
        <w:rPr>
          <w:rFonts w:ascii="Times" w:hAnsi="Times" w:cs="Times"/>
        </w:rPr>
        <w:t xml:space="preserve">o support a fair and balanced assignment of the primary subbands across </w:t>
      </w:r>
      <w:r w:rsidR="00F1025E">
        <w:rPr>
          <w:rFonts w:ascii="Times" w:hAnsi="Times" w:cs="Times"/>
        </w:rPr>
        <w:t xml:space="preserve">a </w:t>
      </w:r>
      <w:r w:rsidRPr="00895883">
        <w:rPr>
          <w:rFonts w:ascii="Times" w:hAnsi="Times" w:cs="Times"/>
        </w:rPr>
        <w:t>scheduled transmission</w:t>
      </w:r>
      <w:r w:rsidR="00D45AA3">
        <w:rPr>
          <w:rFonts w:ascii="Times" w:hAnsi="Times" w:cs="Times"/>
        </w:rPr>
        <w:t>, t</w:t>
      </w:r>
      <w:r w:rsidRPr="00895883">
        <w:rPr>
          <w:rFonts w:ascii="Times" w:hAnsi="Times" w:cs="Times"/>
        </w:rPr>
        <w:t xml:space="preserve">he pattern of primary subbands </w:t>
      </w:r>
      <w:r w:rsidR="00D45AA3">
        <w:rPr>
          <w:rFonts w:ascii="Times" w:hAnsi="Times" w:cs="Times"/>
        </w:rPr>
        <w:t>can</w:t>
      </w:r>
      <w:r w:rsidRPr="00895883">
        <w:rPr>
          <w:rFonts w:ascii="Times" w:hAnsi="Times" w:cs="Times"/>
        </w:rPr>
        <w:t xml:space="preserve"> be cycled for each transmission event. </w:t>
      </w:r>
    </w:p>
    <w:p w14:paraId="4BAC50AB" w14:textId="4CA784CA" w:rsidR="002068C1" w:rsidRPr="00D45AA3" w:rsidRDefault="002068C1" w:rsidP="002068C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MS Mincho" w:hAnsi="Times New Roman" w:cs="Times New Roman"/>
          <w:b/>
          <w:i/>
          <w:iCs/>
        </w:rPr>
      </w:pPr>
      <w:r w:rsidRPr="00D45AA3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5</w:t>
      </w:r>
      <w:r w:rsidRPr="00D45AA3">
        <w:rPr>
          <w:rFonts w:ascii="Times New Roman" w:hAnsi="Times New Roman" w:cs="Times New Roman"/>
          <w:b/>
          <w:i/>
        </w:rPr>
        <w:t xml:space="preserve"> – </w:t>
      </w:r>
      <w:r>
        <w:rPr>
          <w:rFonts w:ascii="Times New Roman" w:hAnsi="Times New Roman" w:cs="Times New Roman"/>
          <w:b/>
          <w:i/>
        </w:rPr>
        <w:t xml:space="preserve">Re-use TPMIs of primary subbands for </w:t>
      </w:r>
      <w:r w:rsidR="005A1519">
        <w:rPr>
          <w:rFonts w:ascii="Times New Roman" w:hAnsi="Times New Roman" w:cs="Times New Roman"/>
          <w:b/>
          <w:i/>
        </w:rPr>
        <w:t>precoding</w:t>
      </w:r>
      <w:r>
        <w:rPr>
          <w:rFonts w:ascii="Times New Roman" w:hAnsi="Times New Roman" w:cs="Times New Roman"/>
          <w:b/>
          <w:i/>
        </w:rPr>
        <w:t xml:space="preserve"> of their closest subbands. </w:t>
      </w:r>
    </w:p>
    <w:p w14:paraId="35926152" w14:textId="77777777" w:rsidR="002068C1" w:rsidRPr="00895883" w:rsidRDefault="002068C1" w:rsidP="00D45AA3">
      <w:pPr>
        <w:jc w:val="both"/>
        <w:rPr>
          <w:rFonts w:ascii="Times" w:hAnsi="Times" w:cs="Times"/>
        </w:rPr>
      </w:pPr>
    </w:p>
    <w:p w14:paraId="1AC5F159" w14:textId="062CA9C6" w:rsidR="00895883" w:rsidRDefault="00F1025E" w:rsidP="00895883">
      <w:pPr>
        <w:spacing w:after="120" w:line="360" w:lineRule="auto"/>
        <w:jc w:val="center"/>
      </w:pPr>
      <w:r>
        <w:object w:dxaOrig="15541" w:dyaOrig="4170" w14:anchorId="3860F46C">
          <v:shape id="_x0000_i1055" type="#_x0000_t75" style="width:365.15pt;height:98.25pt" o:ole="">
            <v:imagedata r:id="rId72" o:title=""/>
          </v:shape>
          <o:OLEObject Type="Embed" ProgID="Visio.Drawing.15" ShapeID="_x0000_i1055" DrawAspect="Content" ObjectID="_1572439453" r:id="rId73"/>
        </w:object>
      </w:r>
    </w:p>
    <w:p w14:paraId="36C8A93E" w14:textId="3E58849E" w:rsidR="00895883" w:rsidRPr="00895883" w:rsidRDefault="00895883" w:rsidP="00895883">
      <w:pPr>
        <w:pStyle w:val="Caption"/>
        <w:rPr>
          <w:rFonts w:ascii="Times New Roman" w:hAnsi="Times New Roman" w:cs="Times New Roman"/>
          <w:sz w:val="20"/>
          <w:szCs w:val="24"/>
        </w:rPr>
      </w:pPr>
      <w:bookmarkStart w:id="5" w:name="_Ref497988224"/>
      <w:bookmarkStart w:id="6" w:name="_Ref498000232"/>
      <w:r w:rsidRPr="00895883">
        <w:rPr>
          <w:rFonts w:ascii="Times New Roman" w:hAnsi="Times New Roman" w:cs="Times New Roman"/>
          <w:sz w:val="20"/>
          <w:szCs w:val="24"/>
        </w:rPr>
        <w:t xml:space="preserve">Figure </w:t>
      </w:r>
      <w:r w:rsidRPr="00895883">
        <w:rPr>
          <w:rFonts w:ascii="Times New Roman" w:hAnsi="Times New Roman" w:cs="Times New Roman"/>
          <w:sz w:val="20"/>
          <w:szCs w:val="24"/>
        </w:rPr>
        <w:fldChar w:fldCharType="begin"/>
      </w:r>
      <w:r w:rsidRPr="00895883">
        <w:rPr>
          <w:rFonts w:ascii="Times New Roman" w:hAnsi="Times New Roman" w:cs="Times New Roman"/>
          <w:sz w:val="20"/>
          <w:szCs w:val="24"/>
        </w:rPr>
        <w:instrText xml:space="preserve"> SEQ Figure \* ARABIC \s 1 </w:instrText>
      </w:r>
      <w:r w:rsidRPr="00895883">
        <w:rPr>
          <w:rFonts w:ascii="Times New Roman" w:hAnsi="Times New Roman" w:cs="Times New Roman"/>
          <w:sz w:val="20"/>
          <w:szCs w:val="24"/>
        </w:rPr>
        <w:fldChar w:fldCharType="separate"/>
      </w:r>
      <w:r w:rsidR="00D45AA3">
        <w:rPr>
          <w:rFonts w:ascii="Times New Roman" w:hAnsi="Times New Roman" w:cs="Times New Roman"/>
          <w:noProof/>
          <w:sz w:val="20"/>
          <w:szCs w:val="24"/>
        </w:rPr>
        <w:t>2</w:t>
      </w:r>
      <w:r w:rsidRPr="00895883">
        <w:rPr>
          <w:rFonts w:ascii="Times New Roman" w:hAnsi="Times New Roman" w:cs="Times New Roman"/>
          <w:noProof/>
          <w:sz w:val="20"/>
          <w:szCs w:val="24"/>
        </w:rPr>
        <w:fldChar w:fldCharType="end"/>
      </w:r>
      <w:bookmarkEnd w:id="5"/>
      <w:r w:rsidRPr="00895883">
        <w:rPr>
          <w:rFonts w:ascii="Times New Roman" w:hAnsi="Times New Roman" w:cs="Times New Roman"/>
          <w:sz w:val="20"/>
          <w:szCs w:val="24"/>
        </w:rPr>
        <w:t xml:space="preserve"> Frequency selective precoding using TPMIs of </w:t>
      </w:r>
      <w:r w:rsidR="00F1025E">
        <w:rPr>
          <w:rFonts w:ascii="Times New Roman" w:hAnsi="Times New Roman" w:cs="Times New Roman"/>
          <w:sz w:val="20"/>
          <w:szCs w:val="24"/>
        </w:rPr>
        <w:t xml:space="preserve">uniformly distributed </w:t>
      </w:r>
      <w:r w:rsidRPr="00895883">
        <w:rPr>
          <w:rFonts w:ascii="Times New Roman" w:hAnsi="Times New Roman" w:cs="Times New Roman"/>
          <w:sz w:val="20"/>
          <w:szCs w:val="24"/>
        </w:rPr>
        <w:t>primary subbands</w:t>
      </w:r>
      <w:bookmarkEnd w:id="6"/>
    </w:p>
    <w:p w14:paraId="4B11750E" w14:textId="2C3505FA" w:rsidR="00895883" w:rsidRDefault="00F1025E" w:rsidP="00895883">
      <w:pPr>
        <w:spacing w:after="120" w:line="360" w:lineRule="auto"/>
        <w:jc w:val="center"/>
      </w:pPr>
      <w:r>
        <w:object w:dxaOrig="15871" w:dyaOrig="10471" w14:anchorId="7A8DA73A">
          <v:shape id="_x0000_i1056" type="#_x0000_t75" style="width:338.9pt;height:223.05pt" o:ole="">
            <v:imagedata r:id="rId74" o:title=""/>
          </v:shape>
          <o:OLEObject Type="Embed" ProgID="Visio.Drawing.15" ShapeID="_x0000_i1056" DrawAspect="Content" ObjectID="_1572439454" r:id="rId75"/>
        </w:object>
      </w:r>
    </w:p>
    <w:p w14:paraId="77C48980" w14:textId="634E6104" w:rsidR="00895883" w:rsidRPr="00895883" w:rsidRDefault="00895883" w:rsidP="00895883">
      <w:pPr>
        <w:pStyle w:val="Caption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bookmarkStart w:id="7" w:name="_Ref498001465"/>
      <w:r w:rsidRPr="00895883">
        <w:rPr>
          <w:rFonts w:ascii="Times New Roman" w:hAnsi="Times New Roman" w:cs="Times New Roman"/>
          <w:sz w:val="20"/>
          <w:szCs w:val="24"/>
        </w:rPr>
        <w:t xml:space="preserve">Figure </w:t>
      </w:r>
      <w:r w:rsidRPr="00895883">
        <w:rPr>
          <w:rFonts w:ascii="Times New Roman" w:hAnsi="Times New Roman" w:cs="Times New Roman"/>
          <w:sz w:val="20"/>
          <w:szCs w:val="24"/>
        </w:rPr>
        <w:fldChar w:fldCharType="begin"/>
      </w:r>
      <w:r w:rsidRPr="00895883">
        <w:rPr>
          <w:rFonts w:ascii="Times New Roman" w:hAnsi="Times New Roman" w:cs="Times New Roman"/>
          <w:sz w:val="20"/>
          <w:szCs w:val="24"/>
        </w:rPr>
        <w:instrText xml:space="preserve"> SEQ Figure \* ARABIC \s 1 </w:instrText>
      </w:r>
      <w:r w:rsidRPr="00895883">
        <w:rPr>
          <w:rFonts w:ascii="Times New Roman" w:hAnsi="Times New Roman" w:cs="Times New Roman"/>
          <w:sz w:val="20"/>
          <w:szCs w:val="24"/>
        </w:rPr>
        <w:fldChar w:fldCharType="separate"/>
      </w:r>
      <w:r w:rsidR="00D45AA3">
        <w:rPr>
          <w:rFonts w:ascii="Times New Roman" w:hAnsi="Times New Roman" w:cs="Times New Roman"/>
          <w:noProof/>
          <w:sz w:val="20"/>
          <w:szCs w:val="24"/>
        </w:rPr>
        <w:t>3</w:t>
      </w:r>
      <w:r w:rsidRPr="00895883">
        <w:rPr>
          <w:rFonts w:ascii="Times New Roman" w:hAnsi="Times New Roman" w:cs="Times New Roman"/>
          <w:noProof/>
          <w:sz w:val="20"/>
          <w:szCs w:val="24"/>
        </w:rPr>
        <w:fldChar w:fldCharType="end"/>
      </w:r>
      <w:bookmarkEnd w:id="7"/>
      <w:r w:rsidRPr="00895883">
        <w:rPr>
          <w:rFonts w:ascii="Times New Roman" w:hAnsi="Times New Roman" w:cs="Times New Roman"/>
          <w:sz w:val="20"/>
          <w:szCs w:val="24"/>
        </w:rPr>
        <w:t xml:space="preserve"> Frequency selective precoding using TPMIs of </w:t>
      </w:r>
      <w:r w:rsidR="00F1025E">
        <w:rPr>
          <w:rFonts w:ascii="Times New Roman" w:hAnsi="Times New Roman" w:cs="Times New Roman"/>
          <w:sz w:val="20"/>
          <w:szCs w:val="24"/>
        </w:rPr>
        <w:t xml:space="preserve">non-uniformly distributed </w:t>
      </w:r>
      <w:r w:rsidR="00F1025E" w:rsidRPr="00895883">
        <w:rPr>
          <w:rFonts w:ascii="Times New Roman" w:hAnsi="Times New Roman" w:cs="Times New Roman"/>
          <w:sz w:val="20"/>
          <w:szCs w:val="24"/>
        </w:rPr>
        <w:t>primary subbands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6C23C5AA" w14:textId="460780F4" w:rsidR="00F1025E" w:rsidRDefault="00F1025E" w:rsidP="00F1025E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 the</w:t>
      </w:r>
      <w:r w:rsidRPr="00E56069">
        <w:rPr>
          <w:rFonts w:ascii="Times" w:hAnsi="Times" w:cs="Times"/>
        </w:rPr>
        <w:t xml:space="preserve"> contribution, we provide our views on </w:t>
      </w:r>
      <w:r>
        <w:rPr>
          <w:rFonts w:ascii="Times" w:hAnsi="Times" w:cs="Times"/>
        </w:rPr>
        <w:t xml:space="preserve">TPMI size and </w:t>
      </w:r>
      <w:r w:rsidRPr="00E56069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design of the TPMI indication mechanism for frequency selective UL codebook-based transmission. Based on the presented discussion, following proposals are made:</w:t>
      </w:r>
    </w:p>
    <w:p w14:paraId="2A910EEF" w14:textId="77777777" w:rsidR="004A7195" w:rsidRDefault="004A7195" w:rsidP="004A7195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>
        <w:rPr>
          <w:rFonts w:ascii="Times" w:hAnsi="Times" w:cs="Times"/>
          <w:b/>
          <w:i/>
        </w:rPr>
        <w:t xml:space="preserve">Use </w:t>
      </w:r>
      <w:r w:rsidRPr="00317459">
        <w:rPr>
          <w:rFonts w:ascii="Times" w:hAnsi="Times" w:cs="Times"/>
          <w:b/>
          <w:i/>
        </w:rPr>
        <w:t xml:space="preserve">UE </w:t>
      </w:r>
      <w:r>
        <w:rPr>
          <w:rFonts w:ascii="Times" w:hAnsi="Times" w:cs="Times"/>
          <w:b/>
          <w:i/>
        </w:rPr>
        <w:t xml:space="preserve">coherence </w:t>
      </w:r>
      <w:r w:rsidRPr="00317459">
        <w:rPr>
          <w:rFonts w:ascii="Times" w:hAnsi="Times" w:cs="Times"/>
          <w:b/>
          <w:i/>
        </w:rPr>
        <w:t xml:space="preserve">capability </w:t>
      </w:r>
      <w:r>
        <w:rPr>
          <w:rFonts w:ascii="Times" w:hAnsi="Times" w:cs="Times"/>
          <w:b/>
          <w:i/>
        </w:rPr>
        <w:t>information to adjust TPMI bit size by CBSR.</w:t>
      </w:r>
    </w:p>
    <w:p w14:paraId="595A2986" w14:textId="77777777" w:rsidR="004A7195" w:rsidRDefault="004A7195" w:rsidP="004A7195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>
        <w:rPr>
          <w:rFonts w:ascii="Times" w:hAnsi="Times" w:cs="Times"/>
          <w:b/>
          <w:i/>
        </w:rPr>
        <w:t>By relying on coherence capability information, employ a reduced length RRC configured bitmap to define the CBSR.</w:t>
      </w:r>
    </w:p>
    <w:p w14:paraId="0B3520BA" w14:textId="77777777" w:rsidR="004A7195" w:rsidRPr="00D45AA3" w:rsidRDefault="004A7195" w:rsidP="004A71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MS Mincho" w:hAnsi="Times New Roman" w:cs="Times New Roman"/>
          <w:b/>
          <w:i/>
          <w:iCs/>
        </w:rPr>
      </w:pPr>
      <w:r w:rsidRPr="00D45AA3">
        <w:rPr>
          <w:rFonts w:ascii="Times New Roman" w:hAnsi="Times New Roman" w:cs="Times New Roman"/>
          <w:b/>
          <w:i/>
        </w:rPr>
        <w:t xml:space="preserve">Proposal 3 – </w:t>
      </w:r>
      <w:r w:rsidRPr="00D45AA3">
        <w:rPr>
          <w:rFonts w:ascii="Times New Roman" w:eastAsia="MS Mincho" w:hAnsi="Times New Roman" w:cs="Times New Roman"/>
          <w:b/>
          <w:i/>
          <w:iCs/>
        </w:rPr>
        <w:t>Subband TPMIs are signaled via DCI to the UE for all PRBs in UL, regardless of the actual RA for a given PUSCH transmission</w:t>
      </w:r>
    </w:p>
    <w:p w14:paraId="10354123" w14:textId="77777777" w:rsidR="004A7195" w:rsidRDefault="004A7195" w:rsidP="004A71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i/>
        </w:rPr>
      </w:pPr>
    </w:p>
    <w:p w14:paraId="66108CB7" w14:textId="77777777" w:rsidR="004A7195" w:rsidRPr="00D45AA3" w:rsidRDefault="004A7195" w:rsidP="004A71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MS Mincho" w:hAnsi="Times New Roman" w:cs="Times New Roman"/>
          <w:b/>
          <w:i/>
          <w:iCs/>
        </w:rPr>
      </w:pPr>
      <w:r w:rsidRPr="00D45AA3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4</w:t>
      </w:r>
      <w:r w:rsidRPr="00D45AA3">
        <w:rPr>
          <w:rFonts w:ascii="Times New Roman" w:hAnsi="Times New Roman" w:cs="Times New Roman"/>
          <w:b/>
          <w:i/>
        </w:rPr>
        <w:t xml:space="preserve"> – </w:t>
      </w:r>
      <w:r>
        <w:rPr>
          <w:rFonts w:ascii="Times New Roman" w:hAnsi="Times New Roman" w:cs="Times New Roman"/>
          <w:b/>
          <w:i/>
        </w:rPr>
        <w:t>F</w:t>
      </w:r>
      <w:r w:rsidRPr="00342210">
        <w:rPr>
          <w:rFonts w:ascii="Times New Roman" w:eastAsia="MS Mincho" w:hAnsi="Times New Roman" w:cs="Times New Roman"/>
          <w:b/>
          <w:i/>
          <w:iCs/>
        </w:rPr>
        <w:t>or a given size of the bandwidth part, a UE should be configured to have a fixed number of TPMIs (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S Mincho" w:hAnsi="Cambria Math" w:cs="Times New Roman"/>
              </w:rPr>
              <m:t>TPMI</m:t>
            </m:r>
          </m:sub>
        </m:sSub>
      </m:oMath>
      <w:r w:rsidRPr="00342210">
        <w:rPr>
          <w:rFonts w:ascii="Times New Roman" w:eastAsia="MS Mincho" w:hAnsi="Times New Roman" w:cs="Times New Roman"/>
          <w:b/>
          <w:i/>
          <w:iCs/>
        </w:rPr>
        <w:t>)</w:t>
      </w:r>
      <w:r>
        <w:rPr>
          <w:rFonts w:ascii="Times New Roman" w:eastAsia="MS Mincho" w:hAnsi="Times New Roman" w:cs="Times New Roman"/>
          <w:b/>
          <w:i/>
          <w:iCs/>
        </w:rPr>
        <w:t>.</w:t>
      </w:r>
    </w:p>
    <w:p w14:paraId="27D5C1F2" w14:textId="77777777" w:rsidR="002068C1" w:rsidRDefault="002068C1" w:rsidP="002068C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b/>
          <w:i/>
        </w:rPr>
      </w:pPr>
    </w:p>
    <w:p w14:paraId="286F4FF3" w14:textId="3310E382" w:rsidR="002068C1" w:rsidRPr="00D45AA3" w:rsidRDefault="002068C1" w:rsidP="002068C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MS Mincho" w:hAnsi="Times New Roman" w:cs="Times New Roman"/>
          <w:b/>
          <w:i/>
          <w:iCs/>
        </w:rPr>
      </w:pPr>
      <w:r w:rsidRPr="00D45AA3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</w:rPr>
        <w:t>5</w:t>
      </w:r>
      <w:r w:rsidRPr="00D45AA3">
        <w:rPr>
          <w:rFonts w:ascii="Times New Roman" w:hAnsi="Times New Roman" w:cs="Times New Roman"/>
          <w:b/>
          <w:i/>
        </w:rPr>
        <w:t xml:space="preserve"> – </w:t>
      </w:r>
      <w:r>
        <w:rPr>
          <w:rFonts w:ascii="Times New Roman" w:hAnsi="Times New Roman" w:cs="Times New Roman"/>
          <w:b/>
          <w:i/>
        </w:rPr>
        <w:t xml:space="preserve">Re-use TPMIs of primary subbands for </w:t>
      </w:r>
      <w:r w:rsidR="005A1519">
        <w:rPr>
          <w:rFonts w:ascii="Times New Roman" w:hAnsi="Times New Roman" w:cs="Times New Roman"/>
          <w:b/>
          <w:i/>
        </w:rPr>
        <w:t>precoding</w:t>
      </w:r>
      <w:r>
        <w:rPr>
          <w:rFonts w:ascii="Times New Roman" w:hAnsi="Times New Roman" w:cs="Times New Roman"/>
          <w:b/>
          <w:i/>
        </w:rPr>
        <w:t xml:space="preserve"> of their closest subbands. </w:t>
      </w:r>
    </w:p>
    <w:p w14:paraId="633FFA39" w14:textId="77777777" w:rsidR="002068C1" w:rsidRDefault="002068C1" w:rsidP="00F1025E">
      <w:pPr>
        <w:jc w:val="both"/>
        <w:rPr>
          <w:rFonts w:ascii="Times" w:hAnsi="Times" w:cs="Times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67420070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8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F1025E">
        <w:rPr>
          <w:rFonts w:ascii="Times" w:hAnsi="Times" w:cs="Times"/>
        </w:rPr>
        <w:t>#90b</w:t>
      </w:r>
      <w:r w:rsidRPr="00775D8A">
        <w:rPr>
          <w:rFonts w:ascii="Times" w:hAnsi="Times" w:cs="Times"/>
        </w:rPr>
        <w:t xml:space="preserve">, </w:t>
      </w:r>
      <w:r w:rsidR="00F1025E">
        <w:rPr>
          <w:rFonts w:ascii="Times" w:hAnsi="Times" w:cs="Times"/>
        </w:rPr>
        <w:t>Prague, Czech</w:t>
      </w:r>
      <w:r w:rsidR="004A7195">
        <w:rPr>
          <w:rFonts w:ascii="Times" w:hAnsi="Times" w:cs="Times"/>
        </w:rPr>
        <w:t>, Octo</w:t>
      </w:r>
      <w:r w:rsidR="005B0D1C">
        <w:rPr>
          <w:rFonts w:ascii="Times" w:hAnsi="Times" w:cs="Times"/>
        </w:rPr>
        <w:t>ber</w:t>
      </w:r>
      <w:r w:rsidRPr="00775D8A">
        <w:rPr>
          <w:rFonts w:ascii="Times" w:hAnsi="Times" w:cs="Times"/>
        </w:rPr>
        <w:t xml:space="preserve"> 2017</w:t>
      </w:r>
    </w:p>
    <w:p w14:paraId="30EA32AC" w14:textId="4268714A" w:rsid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Spokane, USA</w:t>
      </w:r>
      <w:r w:rsidR="009F64E1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8"/>
    </w:p>
    <w:sectPr w:rsidR="00775D8A" w:rsidSect="00D55085">
      <w:headerReference w:type="even" r:id="rId76"/>
      <w:headerReference w:type="default" r:id="rId77"/>
      <w:footerReference w:type="even" r:id="rId78"/>
      <w:footerReference w:type="default" r:id="rId79"/>
      <w:headerReference w:type="first" r:id="rId80"/>
      <w:footerReference w:type="first" r:id="rId8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14941" w14:textId="77777777" w:rsidR="0026438D" w:rsidRDefault="0026438D">
      <w:r>
        <w:separator/>
      </w:r>
    </w:p>
  </w:endnote>
  <w:endnote w:type="continuationSeparator" w:id="0">
    <w:p w14:paraId="15974A17" w14:textId="77777777" w:rsidR="0026438D" w:rsidRDefault="0026438D">
      <w:r>
        <w:continuationSeparator/>
      </w:r>
    </w:p>
  </w:endnote>
  <w:endnote w:type="continuationNotice" w:id="1">
    <w:p w14:paraId="309D0BEF" w14:textId="77777777" w:rsidR="0026438D" w:rsidRDefault="002643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AEC58" w14:textId="77777777" w:rsidR="00545415" w:rsidRDefault="00545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CB5E" w14:textId="77777777" w:rsidR="00545415" w:rsidRDefault="00545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78377" w14:textId="77777777" w:rsidR="00545415" w:rsidRDefault="00545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4F0BF" w14:textId="77777777" w:rsidR="0026438D" w:rsidRDefault="0026438D">
      <w:r>
        <w:separator/>
      </w:r>
    </w:p>
  </w:footnote>
  <w:footnote w:type="continuationSeparator" w:id="0">
    <w:p w14:paraId="24CFACA9" w14:textId="77777777" w:rsidR="0026438D" w:rsidRDefault="0026438D">
      <w:r>
        <w:continuationSeparator/>
      </w:r>
    </w:p>
  </w:footnote>
  <w:footnote w:type="continuationNotice" w:id="1">
    <w:p w14:paraId="2A53F208" w14:textId="77777777" w:rsidR="0026438D" w:rsidRDefault="002643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6E9E0" w14:textId="77777777" w:rsidR="00545415" w:rsidRDefault="00545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CEF2D" w14:textId="77777777" w:rsidR="00545415" w:rsidRDefault="00545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85B2C" w14:textId="77777777" w:rsidR="00545415" w:rsidRDefault="00545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C71C25BC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E1990"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4" w15:restartNumberingAfterBreak="0">
    <w:nsid w:val="0D2331B9"/>
    <w:multiLevelType w:val="hybridMultilevel"/>
    <w:tmpl w:val="8B642454"/>
    <w:lvl w:ilvl="0" w:tplc="81842D70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F09A1"/>
    <w:multiLevelType w:val="hybridMultilevel"/>
    <w:tmpl w:val="5022ABAA"/>
    <w:lvl w:ilvl="0" w:tplc="B66E1990"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C4008"/>
    <w:multiLevelType w:val="hybridMultilevel"/>
    <w:tmpl w:val="03E23902"/>
    <w:lvl w:ilvl="0" w:tplc="81842D70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E6BED"/>
    <w:multiLevelType w:val="hybridMultilevel"/>
    <w:tmpl w:val="19CAE3C4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870B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42667"/>
    <w:multiLevelType w:val="hybridMultilevel"/>
    <w:tmpl w:val="DFEAC1C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5"/>
  </w:num>
  <w:num w:numId="8">
    <w:abstractNumId w:val="9"/>
  </w:num>
  <w:num w:numId="9">
    <w:abstractNumId w:val="17"/>
  </w:num>
  <w:num w:numId="10">
    <w:abstractNumId w:val="7"/>
  </w:num>
  <w:num w:numId="11">
    <w:abstractNumId w:val="3"/>
  </w:num>
  <w:num w:numId="12">
    <w:abstractNumId w:val="2"/>
  </w:num>
  <w:num w:numId="13">
    <w:abstractNumId w:val="16"/>
  </w:num>
  <w:num w:numId="14">
    <w:abstractNumId w:val="10"/>
  </w:num>
  <w:num w:numId="15">
    <w:abstractNumId w:val="4"/>
  </w:num>
  <w:num w:numId="16">
    <w:abstractNumId w:val="6"/>
  </w:num>
  <w:num w:numId="1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12F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020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8C1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F9A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38D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45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210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0C0"/>
    <w:rsid w:val="0037673C"/>
    <w:rsid w:val="003768AA"/>
    <w:rsid w:val="00376B0A"/>
    <w:rsid w:val="0037719F"/>
    <w:rsid w:val="00377CE1"/>
    <w:rsid w:val="00377EF4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66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79C"/>
    <w:rsid w:val="003F4036"/>
    <w:rsid w:val="003F4114"/>
    <w:rsid w:val="003F4A38"/>
    <w:rsid w:val="003F4A65"/>
    <w:rsid w:val="003F508C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15C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690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195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CB7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5B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3760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519"/>
    <w:rsid w:val="005A16A8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1C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616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6DB0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217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5AE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B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83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4E5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4D2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7C8"/>
    <w:rsid w:val="009F2AE7"/>
    <w:rsid w:val="009F2AF7"/>
    <w:rsid w:val="009F2B2C"/>
    <w:rsid w:val="009F2E03"/>
    <w:rsid w:val="009F344F"/>
    <w:rsid w:val="009F3B1B"/>
    <w:rsid w:val="009F541A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191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2A36"/>
    <w:rsid w:val="00AB3B29"/>
    <w:rsid w:val="00AB4AB8"/>
    <w:rsid w:val="00AB4BAA"/>
    <w:rsid w:val="00AB52E6"/>
    <w:rsid w:val="00AB5469"/>
    <w:rsid w:val="00AB655E"/>
    <w:rsid w:val="00AB693B"/>
    <w:rsid w:val="00AB6EAE"/>
    <w:rsid w:val="00AB7420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F7F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A44"/>
    <w:rsid w:val="00C16C4D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BF9"/>
    <w:rsid w:val="00C43A6C"/>
    <w:rsid w:val="00C43FCC"/>
    <w:rsid w:val="00C44972"/>
    <w:rsid w:val="00C45739"/>
    <w:rsid w:val="00C45F08"/>
    <w:rsid w:val="00C46B7B"/>
    <w:rsid w:val="00C4781F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A3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0FD"/>
    <w:rsid w:val="00D616DE"/>
    <w:rsid w:val="00D61AF5"/>
    <w:rsid w:val="00D61E32"/>
    <w:rsid w:val="00D62095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67FB1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4FD"/>
    <w:rsid w:val="00E80928"/>
    <w:rsid w:val="00E80F82"/>
    <w:rsid w:val="00E8234C"/>
    <w:rsid w:val="00E823A5"/>
    <w:rsid w:val="00E824BF"/>
    <w:rsid w:val="00E82E48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1FDD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25E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5FA3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234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6F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6F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6F9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11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  <w:style w:type="paragraph" w:customStyle="1" w:styleId="RAN1text">
    <w:name w:val="RAN1 text"/>
    <w:basedOn w:val="BodyText"/>
    <w:link w:val="RAN1textChar"/>
    <w:qFormat/>
    <w:rsid w:val="008F24E5"/>
    <w:p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8F24E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8F24E5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8F24E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F24E5"/>
    <w:p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2Char">
    <w:name w:val="RAN1 bullet2 Char"/>
    <w:link w:val="RAN1bullet2"/>
    <w:rsid w:val="008F24E5"/>
    <w:rPr>
      <w:rFonts w:ascii="Times" w:eastAsia="Batang" w:hAnsi="Times"/>
      <w:lang w:val="en-US"/>
    </w:rPr>
  </w:style>
  <w:style w:type="paragraph" w:customStyle="1" w:styleId="TAC">
    <w:name w:val="TAC"/>
    <w:basedOn w:val="TAL"/>
    <w:rsid w:val="0031745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0.wmf"/><Relationship Id="rId76" Type="http://schemas.openxmlformats.org/officeDocument/2006/relationships/header" Target="header1.xml"/><Relationship Id="rId7" Type="http://schemas.openxmlformats.org/officeDocument/2006/relationships/settings" Target="settings.xml"/><Relationship Id="rId71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9.bin"/><Relationship Id="rId11" Type="http://schemas.openxmlformats.org/officeDocument/2006/relationships/image" Target="media/image1.e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emf"/><Relationship Id="rId79" Type="http://schemas.openxmlformats.org/officeDocument/2006/relationships/footer" Target="footer2.xml"/><Relationship Id="rId5" Type="http://schemas.openxmlformats.org/officeDocument/2006/relationships/numbering" Target="numbering.xml"/><Relationship Id="rId61" Type="http://schemas.openxmlformats.org/officeDocument/2006/relationships/oleObject" Target="embeddings/oleObject25.bin"/><Relationship Id="rId82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7.bin"/><Relationship Id="rId73" Type="http://schemas.openxmlformats.org/officeDocument/2006/relationships/package" Target="embeddings/Microsoft_Visio_Drawing1.vsdx"/><Relationship Id="rId78" Type="http://schemas.openxmlformats.org/officeDocument/2006/relationships/footer" Target="footer1.xml"/><Relationship Id="rId8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29.bin"/><Relationship Id="rId77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2.emf"/><Relationship Id="rId80" Type="http://schemas.openxmlformats.org/officeDocument/2006/relationships/header" Target="header3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emf"/><Relationship Id="rId75" Type="http://schemas.openxmlformats.org/officeDocument/2006/relationships/package" Target="embeddings/Microsoft_Visio_Drawing2.vsdx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10475F-6726-4DF8-B967-78C1D6822727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E7E8B16-4AF6-4055-AAFF-2C8ABED0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1475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2017-03-24T21:14:00Z</dcterms:created>
  <dcterms:modified xsi:type="dcterms:W3CDTF">2017-11-17T20:57:00Z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